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E2" w:rsidRDefault="007810B6" w:rsidP="007810B6">
      <w:pPr>
        <w:jc w:val="right"/>
      </w:pPr>
      <w:r w:rsidRPr="007810B6">
        <w:rPr>
          <w:rFonts w:cstheme="minorHAnsi"/>
          <w:sz w:val="24"/>
          <w:szCs w:val="24"/>
        </w:rPr>
        <w:t>Tixkokob, Yucatán, a 08 de agosto 2019</w:t>
      </w:r>
      <w:r>
        <w:t>.</w:t>
      </w:r>
    </w:p>
    <w:p w:rsidR="007810B6" w:rsidRDefault="007810B6" w:rsidP="007810B6">
      <w:pPr>
        <w:jc w:val="right"/>
      </w:pPr>
      <w:r w:rsidRPr="007810B6">
        <w:rPr>
          <w:rFonts w:cstheme="minorHAnsi"/>
          <w:b/>
          <w:sz w:val="24"/>
          <w:szCs w:val="24"/>
        </w:rPr>
        <w:t>ASUNTO:</w:t>
      </w:r>
      <w:r w:rsidRPr="007810B6">
        <w:rPr>
          <w:sz w:val="24"/>
          <w:szCs w:val="24"/>
        </w:rPr>
        <w:t xml:space="preserve"> Se solicita modificación de la ley de ingresos.</w:t>
      </w:r>
      <w:r>
        <w:t xml:space="preserve"> </w:t>
      </w:r>
    </w:p>
    <w:p w:rsidR="007810B6" w:rsidRPr="00BD1267" w:rsidRDefault="007810B6" w:rsidP="00BD1267">
      <w:pPr>
        <w:spacing w:line="240" w:lineRule="auto"/>
        <w:rPr>
          <w:rFonts w:cstheme="minorHAnsi"/>
          <w:b/>
          <w:sz w:val="24"/>
          <w:szCs w:val="24"/>
        </w:rPr>
      </w:pPr>
      <w:r w:rsidRPr="00BD1267">
        <w:rPr>
          <w:rFonts w:cstheme="minorHAnsi"/>
          <w:b/>
          <w:sz w:val="24"/>
          <w:szCs w:val="24"/>
        </w:rPr>
        <w:t>H. CONGRESO DEL ESTADO DE YUCATÁN</w:t>
      </w:r>
    </w:p>
    <w:p w:rsidR="00BD1267" w:rsidRDefault="007810B6" w:rsidP="00BD1267">
      <w:pPr>
        <w:spacing w:line="240" w:lineRule="auto"/>
        <w:rPr>
          <w:rFonts w:cstheme="minorHAnsi"/>
          <w:b/>
          <w:sz w:val="24"/>
          <w:szCs w:val="24"/>
        </w:rPr>
      </w:pPr>
      <w:r w:rsidRPr="00BD1267">
        <w:rPr>
          <w:rFonts w:cstheme="minorHAnsi"/>
          <w:b/>
          <w:sz w:val="24"/>
          <w:szCs w:val="24"/>
        </w:rPr>
        <w:t>PRESENTE</w:t>
      </w:r>
      <w:bookmarkStart w:id="0" w:name="_GoBack"/>
      <w:bookmarkEnd w:id="0"/>
    </w:p>
    <w:p w:rsidR="00BD1267" w:rsidRDefault="00BD1267" w:rsidP="00BD1267">
      <w:pPr>
        <w:spacing w:line="240" w:lineRule="auto"/>
        <w:rPr>
          <w:rFonts w:cstheme="minorHAnsi"/>
          <w:b/>
          <w:sz w:val="24"/>
          <w:szCs w:val="24"/>
        </w:rPr>
      </w:pPr>
    </w:p>
    <w:p w:rsidR="007810B6" w:rsidRPr="003A0895" w:rsidRDefault="00BD1267" w:rsidP="00BD1267">
      <w:pPr>
        <w:jc w:val="both"/>
        <w:rPr>
          <w:rFonts w:ascii="Arial" w:hAnsi="Arial" w:cs="Arial"/>
          <w:sz w:val="20"/>
          <w:szCs w:val="20"/>
        </w:rPr>
      </w:pPr>
      <w:r>
        <w:rPr>
          <w:rFonts w:ascii="Arial" w:hAnsi="Arial" w:cs="Arial"/>
          <w:sz w:val="20"/>
          <w:szCs w:val="20"/>
        </w:rPr>
        <w:t xml:space="preserve">       </w:t>
      </w:r>
      <w:r w:rsidR="007810B6" w:rsidRPr="003A0895">
        <w:rPr>
          <w:rFonts w:ascii="Arial" w:hAnsi="Arial" w:cs="Arial"/>
          <w:sz w:val="20"/>
          <w:szCs w:val="20"/>
        </w:rPr>
        <w:t xml:space="preserve">Mediante oficio de fecha veintitrés de julio de dos mil diecinueve, fue remitido a esta Soberanía, copia certificada del acta de la sesión Extraordinaria de cabildo de fecha veintidós de julio de 2019, en donde este H. Ayuntamiento del Municipio de Tixkokob, Yucatán, en los inciso </w:t>
      </w:r>
      <w:r w:rsidR="007810B6" w:rsidRPr="003A0895">
        <w:rPr>
          <w:rFonts w:ascii="Arial" w:hAnsi="Arial" w:cs="Arial"/>
          <w:b/>
          <w:sz w:val="20"/>
          <w:szCs w:val="20"/>
        </w:rPr>
        <w:t>a,b, c y d)</w:t>
      </w:r>
      <w:r w:rsidR="007810B6" w:rsidRPr="003A0895">
        <w:rPr>
          <w:rFonts w:ascii="Arial" w:hAnsi="Arial" w:cs="Arial"/>
          <w:sz w:val="20"/>
          <w:szCs w:val="20"/>
        </w:rPr>
        <w:t xml:space="preserve"> del cuarto punto del orden del día, aprobó por unanimidad la contratación de un financiamiento </w:t>
      </w:r>
      <w:r w:rsidR="00FA5488" w:rsidRPr="003A0895">
        <w:rPr>
          <w:rFonts w:ascii="Arial" w:hAnsi="Arial" w:cs="Arial"/>
          <w:sz w:val="20"/>
          <w:szCs w:val="20"/>
        </w:rPr>
        <w:t xml:space="preserve">a largo plazo, así como la iniciativa de reforma del artículo </w:t>
      </w:r>
      <w:r w:rsidR="007810B6" w:rsidRPr="003A0895">
        <w:rPr>
          <w:rFonts w:ascii="Arial" w:hAnsi="Arial" w:cs="Arial"/>
          <w:sz w:val="20"/>
          <w:szCs w:val="20"/>
        </w:rPr>
        <w:t xml:space="preserve"> </w:t>
      </w:r>
      <w:r w:rsidR="00FA5488" w:rsidRPr="003A0895">
        <w:rPr>
          <w:rFonts w:ascii="Arial" w:hAnsi="Arial" w:cs="Arial"/>
          <w:sz w:val="20"/>
          <w:szCs w:val="20"/>
        </w:rPr>
        <w:t xml:space="preserve">12 de la Ley de Ingresos del Municipio de Tixkokob, Yucatán, para el ejercicio fiscal 2019, </w:t>
      </w:r>
      <w:r w:rsidR="002B50DB">
        <w:rPr>
          <w:rFonts w:ascii="Arial" w:hAnsi="Arial" w:cs="Arial"/>
          <w:sz w:val="20"/>
          <w:szCs w:val="20"/>
        </w:rPr>
        <w:t>(</w:t>
      </w:r>
      <w:r w:rsidR="00FA5488" w:rsidRPr="003A0895">
        <w:rPr>
          <w:rFonts w:ascii="Arial" w:hAnsi="Arial" w:cs="Arial"/>
          <w:sz w:val="20"/>
          <w:szCs w:val="20"/>
        </w:rPr>
        <w:t>en el párrafo de ingresos derivados de financiamientos), y se ordenó girar atento oficio a este Congreso del Estado de Yucatán, para que en su oportunidad</w:t>
      </w:r>
      <w:r w:rsidR="00D71AAF" w:rsidRPr="003A0895">
        <w:rPr>
          <w:rFonts w:ascii="Arial" w:hAnsi="Arial" w:cs="Arial"/>
          <w:sz w:val="20"/>
          <w:szCs w:val="20"/>
        </w:rPr>
        <w:t xml:space="preserve"> </w:t>
      </w:r>
      <w:r w:rsidR="000007CE" w:rsidRPr="003A0895">
        <w:rPr>
          <w:rFonts w:ascii="Arial" w:hAnsi="Arial" w:cs="Arial"/>
          <w:sz w:val="20"/>
          <w:szCs w:val="20"/>
        </w:rPr>
        <w:t>se turne a la Comisión Permanente de Presupuesto, Patrimonio Estatal y Municipal para su estudio, análisis y dictamen correspondiente; lo anterior, en cumplimiento de los requerim</w:t>
      </w:r>
      <w:r w:rsidR="009402D1">
        <w:rPr>
          <w:rFonts w:ascii="Arial" w:hAnsi="Arial" w:cs="Arial"/>
          <w:sz w:val="20"/>
          <w:szCs w:val="20"/>
        </w:rPr>
        <w:t>ientos hechos en los autos del J</w:t>
      </w:r>
      <w:r w:rsidR="000007CE" w:rsidRPr="003A0895">
        <w:rPr>
          <w:rFonts w:ascii="Arial" w:hAnsi="Arial" w:cs="Arial"/>
          <w:sz w:val="20"/>
          <w:szCs w:val="20"/>
        </w:rPr>
        <w:t xml:space="preserve">uicio Reclamatorio Laboral </w:t>
      </w:r>
      <w:r w:rsidR="00FA5488" w:rsidRPr="003A0895">
        <w:rPr>
          <w:rFonts w:ascii="Arial" w:hAnsi="Arial" w:cs="Arial"/>
          <w:sz w:val="20"/>
          <w:szCs w:val="20"/>
        </w:rPr>
        <w:t xml:space="preserve"> </w:t>
      </w:r>
      <w:r w:rsidR="000007CE" w:rsidRPr="003A0895">
        <w:rPr>
          <w:rFonts w:ascii="Arial" w:hAnsi="Arial" w:cs="Arial"/>
          <w:sz w:val="20"/>
          <w:szCs w:val="20"/>
        </w:rPr>
        <w:t>con número de expediente 11/2007, que cursa ante el Tribunal de los trabajadores al Servicio del Estado y de l</w:t>
      </w:r>
      <w:r w:rsidR="009402D1">
        <w:rPr>
          <w:rFonts w:ascii="Arial" w:hAnsi="Arial" w:cs="Arial"/>
          <w:sz w:val="20"/>
          <w:szCs w:val="20"/>
        </w:rPr>
        <w:t>os M</w:t>
      </w:r>
      <w:r w:rsidR="00062B4E">
        <w:rPr>
          <w:rFonts w:ascii="Arial" w:hAnsi="Arial" w:cs="Arial"/>
          <w:sz w:val="20"/>
          <w:szCs w:val="20"/>
        </w:rPr>
        <w:t>unicipios Perteneciente al P</w:t>
      </w:r>
      <w:r w:rsidR="000007CE" w:rsidRPr="003A0895">
        <w:rPr>
          <w:rFonts w:ascii="Arial" w:hAnsi="Arial" w:cs="Arial"/>
          <w:sz w:val="20"/>
          <w:szCs w:val="20"/>
        </w:rPr>
        <w:t xml:space="preserve">oder Judicial del Estado de Yucatán y en los Juicios de Amparos números </w:t>
      </w:r>
      <w:r w:rsidR="009402D1">
        <w:rPr>
          <w:rFonts w:ascii="Arial" w:hAnsi="Arial" w:cs="Arial"/>
          <w:b/>
          <w:sz w:val="20"/>
          <w:szCs w:val="20"/>
        </w:rPr>
        <w:t>679/2012-V-A, 6</w:t>
      </w:r>
      <w:r w:rsidR="000007CE" w:rsidRPr="003A0895">
        <w:rPr>
          <w:rFonts w:ascii="Arial" w:hAnsi="Arial" w:cs="Arial"/>
          <w:b/>
          <w:sz w:val="20"/>
          <w:szCs w:val="20"/>
        </w:rPr>
        <w:t xml:space="preserve">23/2015-IV-A y 633/2015-I-B, </w:t>
      </w:r>
      <w:r w:rsidR="000007CE" w:rsidRPr="009402D1">
        <w:rPr>
          <w:rFonts w:ascii="Arial" w:hAnsi="Arial" w:cs="Arial"/>
          <w:sz w:val="20"/>
          <w:szCs w:val="20"/>
        </w:rPr>
        <w:t>promovidos por</w:t>
      </w:r>
      <w:r w:rsidR="000007CE" w:rsidRPr="003A0895">
        <w:rPr>
          <w:rFonts w:ascii="Arial" w:hAnsi="Arial" w:cs="Arial"/>
          <w:b/>
          <w:sz w:val="20"/>
          <w:szCs w:val="20"/>
        </w:rPr>
        <w:t xml:space="preserve"> JUANA DE ARCO BALDERAS PUC, MILKA VIRGINIA TEPAL TEPAL Y MIGUEL OBDULIO COBA PUCH</w:t>
      </w:r>
      <w:r w:rsidR="000007CE" w:rsidRPr="003A0895">
        <w:rPr>
          <w:rFonts w:ascii="Arial" w:hAnsi="Arial" w:cs="Arial"/>
          <w:sz w:val="20"/>
          <w:szCs w:val="20"/>
        </w:rPr>
        <w:t xml:space="preserve"> respectivamente, que cursan ante el Juz</w:t>
      </w:r>
      <w:r w:rsidR="009402D1">
        <w:rPr>
          <w:rFonts w:ascii="Arial" w:hAnsi="Arial" w:cs="Arial"/>
          <w:sz w:val="20"/>
          <w:szCs w:val="20"/>
        </w:rPr>
        <w:t>gado Segundo de Distrito en el E</w:t>
      </w:r>
      <w:r w:rsidR="000007CE" w:rsidRPr="003A0895">
        <w:rPr>
          <w:rFonts w:ascii="Arial" w:hAnsi="Arial" w:cs="Arial"/>
          <w:sz w:val="20"/>
          <w:szCs w:val="20"/>
        </w:rPr>
        <w:t>stado de Yucatán, a fin de hacer el pago en una sola exhibición.</w:t>
      </w:r>
    </w:p>
    <w:p w:rsidR="000007CE" w:rsidRPr="003A0895" w:rsidRDefault="002B50DB" w:rsidP="002B50DB">
      <w:pPr>
        <w:jc w:val="both"/>
        <w:rPr>
          <w:rFonts w:ascii="Arial" w:hAnsi="Arial" w:cs="Arial"/>
          <w:sz w:val="20"/>
          <w:szCs w:val="20"/>
        </w:rPr>
      </w:pPr>
      <w:r>
        <w:rPr>
          <w:rFonts w:ascii="Arial" w:hAnsi="Arial" w:cs="Arial"/>
          <w:sz w:val="20"/>
          <w:szCs w:val="20"/>
        </w:rPr>
        <w:t xml:space="preserve">     </w:t>
      </w:r>
      <w:r w:rsidR="00C01C67" w:rsidRPr="003A0895">
        <w:rPr>
          <w:rFonts w:ascii="Arial" w:hAnsi="Arial" w:cs="Arial"/>
          <w:sz w:val="20"/>
          <w:szCs w:val="20"/>
        </w:rPr>
        <w:t xml:space="preserve">Ahora bien, independientemente de la procedencia o no de la aprobación del empréstito solicitado a </w:t>
      </w:r>
      <w:r w:rsidR="009402D1">
        <w:rPr>
          <w:rFonts w:ascii="Arial" w:hAnsi="Arial" w:cs="Arial"/>
          <w:sz w:val="20"/>
          <w:szCs w:val="20"/>
        </w:rPr>
        <w:t>esta S</w:t>
      </w:r>
      <w:r w:rsidR="00C01C67" w:rsidRPr="003A0895">
        <w:rPr>
          <w:rFonts w:ascii="Arial" w:hAnsi="Arial" w:cs="Arial"/>
          <w:sz w:val="20"/>
          <w:szCs w:val="20"/>
        </w:rPr>
        <w:t xml:space="preserve">oberanía, es de suma importancia se modifique la Ley de Ingresos del Municipio de Tixkokob, a fin de que se reforme diversas partidas presupuestales que permitan incrementar la captación de recursos distintos medios, pudiéndose incluir dichos montos en las partida denominada “Transferencias, </w:t>
      </w:r>
      <w:r>
        <w:rPr>
          <w:rFonts w:ascii="Arial" w:hAnsi="Arial" w:cs="Arial"/>
          <w:sz w:val="20"/>
          <w:szCs w:val="20"/>
        </w:rPr>
        <w:t>A</w:t>
      </w:r>
      <w:r w:rsidR="00C01C67" w:rsidRPr="003A0895">
        <w:rPr>
          <w:rFonts w:ascii="Arial" w:hAnsi="Arial" w:cs="Arial"/>
          <w:sz w:val="20"/>
          <w:szCs w:val="20"/>
        </w:rPr>
        <w:t xml:space="preserve">signaciones, Subsidios y Otras </w:t>
      </w:r>
      <w:r>
        <w:rPr>
          <w:rFonts w:ascii="Arial" w:hAnsi="Arial" w:cs="Arial"/>
          <w:sz w:val="20"/>
          <w:szCs w:val="20"/>
        </w:rPr>
        <w:t>A</w:t>
      </w:r>
      <w:r w:rsidR="00C01C67" w:rsidRPr="003A0895">
        <w:rPr>
          <w:rFonts w:ascii="Arial" w:hAnsi="Arial" w:cs="Arial"/>
          <w:sz w:val="20"/>
          <w:szCs w:val="20"/>
        </w:rPr>
        <w:t>yudas, lo anterior para atender las situaciones legales</w:t>
      </w:r>
      <w:r w:rsidR="00170D3A" w:rsidRPr="003A0895">
        <w:rPr>
          <w:rFonts w:ascii="Arial" w:hAnsi="Arial" w:cs="Arial"/>
          <w:sz w:val="20"/>
          <w:szCs w:val="20"/>
        </w:rPr>
        <w:t>, respecto d</w:t>
      </w:r>
      <w:r w:rsidR="00C01C67" w:rsidRPr="003A0895">
        <w:rPr>
          <w:rFonts w:ascii="Arial" w:hAnsi="Arial" w:cs="Arial"/>
          <w:sz w:val="20"/>
          <w:szCs w:val="20"/>
        </w:rPr>
        <w:t>e</w:t>
      </w:r>
      <w:r w:rsidR="00170D3A" w:rsidRPr="003A0895">
        <w:rPr>
          <w:rFonts w:ascii="Arial" w:hAnsi="Arial" w:cs="Arial"/>
          <w:sz w:val="20"/>
          <w:szCs w:val="20"/>
        </w:rPr>
        <w:t xml:space="preserve"> </w:t>
      </w:r>
      <w:r w:rsidR="00C01C67" w:rsidRPr="003A0895">
        <w:rPr>
          <w:rFonts w:ascii="Arial" w:hAnsi="Arial" w:cs="Arial"/>
          <w:sz w:val="20"/>
          <w:szCs w:val="20"/>
        </w:rPr>
        <w:t xml:space="preserve">los procesos judiciales </w:t>
      </w:r>
      <w:r w:rsidR="00170D3A" w:rsidRPr="003A0895">
        <w:rPr>
          <w:rFonts w:ascii="Arial" w:hAnsi="Arial" w:cs="Arial"/>
          <w:sz w:val="20"/>
          <w:szCs w:val="20"/>
        </w:rPr>
        <w:t>que enfrenta el municipio de Ti</w:t>
      </w:r>
      <w:r w:rsidR="00C01C67" w:rsidRPr="003A0895">
        <w:rPr>
          <w:rFonts w:ascii="Arial" w:hAnsi="Arial" w:cs="Arial"/>
          <w:sz w:val="20"/>
          <w:szCs w:val="20"/>
        </w:rPr>
        <w:t>xkokob, ya que laudos pronunciados en contra se encuentran en etapa de ejecución y no se cuenta con los recursos suficientes para cumplir con las obliga</w:t>
      </w:r>
      <w:r w:rsidR="00170D3A" w:rsidRPr="003A0895">
        <w:rPr>
          <w:rFonts w:ascii="Arial" w:hAnsi="Arial" w:cs="Arial"/>
          <w:sz w:val="20"/>
          <w:szCs w:val="20"/>
        </w:rPr>
        <w:t>ciones derivadas de los Juicios Reclamatorios laborales, que ascienden a la suma de $30,000.00(TREINTA MILLONES DE PESOS MONEDA NACIONAL), a favor de los actores</w:t>
      </w:r>
      <w:r w:rsidR="00A57802" w:rsidRPr="003A0895">
        <w:rPr>
          <w:rFonts w:ascii="Arial" w:hAnsi="Arial" w:cs="Arial"/>
          <w:sz w:val="20"/>
          <w:szCs w:val="20"/>
        </w:rPr>
        <w:t xml:space="preserve"> de los diversos procesos, existentes en el Tr</w:t>
      </w:r>
      <w:r w:rsidR="009402D1">
        <w:rPr>
          <w:rFonts w:ascii="Arial" w:hAnsi="Arial" w:cs="Arial"/>
          <w:sz w:val="20"/>
          <w:szCs w:val="20"/>
        </w:rPr>
        <w:t>ibunal de los Trabajadores  al S</w:t>
      </w:r>
      <w:r w:rsidR="00A57802" w:rsidRPr="003A0895">
        <w:rPr>
          <w:rFonts w:ascii="Arial" w:hAnsi="Arial" w:cs="Arial"/>
          <w:sz w:val="20"/>
          <w:szCs w:val="20"/>
        </w:rPr>
        <w:t xml:space="preserve">ervicio del Estado y de los Municipios Perteneciente al Poder Judicial del Estado de Yucatán. </w:t>
      </w:r>
    </w:p>
    <w:p w:rsidR="00A57802" w:rsidRPr="003A0895" w:rsidRDefault="002B50DB" w:rsidP="00FA5488">
      <w:pPr>
        <w:jc w:val="both"/>
        <w:rPr>
          <w:rFonts w:ascii="Arial" w:hAnsi="Arial" w:cs="Arial"/>
          <w:sz w:val="20"/>
          <w:szCs w:val="20"/>
        </w:rPr>
      </w:pPr>
      <w:r>
        <w:rPr>
          <w:rFonts w:ascii="Arial" w:hAnsi="Arial" w:cs="Arial"/>
          <w:sz w:val="20"/>
          <w:szCs w:val="20"/>
        </w:rPr>
        <w:t xml:space="preserve">     </w:t>
      </w:r>
      <w:r w:rsidR="00A57802" w:rsidRPr="003A0895">
        <w:rPr>
          <w:rFonts w:ascii="Arial" w:hAnsi="Arial" w:cs="Arial"/>
          <w:sz w:val="20"/>
          <w:szCs w:val="20"/>
        </w:rPr>
        <w:t xml:space="preserve">En base a lo anterior se exponen los siguientes motivos y fundamentos legales: </w:t>
      </w:r>
    </w:p>
    <w:p w:rsidR="00C1723F" w:rsidRPr="003A0895" w:rsidRDefault="003A0895" w:rsidP="00FA5488">
      <w:pPr>
        <w:jc w:val="both"/>
        <w:rPr>
          <w:rFonts w:ascii="Arial" w:hAnsi="Arial" w:cs="Arial"/>
          <w:sz w:val="20"/>
          <w:szCs w:val="20"/>
        </w:rPr>
      </w:pPr>
      <w:r>
        <w:rPr>
          <w:rFonts w:ascii="Arial" w:hAnsi="Arial" w:cs="Arial"/>
          <w:b/>
          <w:sz w:val="20"/>
          <w:szCs w:val="20"/>
        </w:rPr>
        <w:t xml:space="preserve">     </w:t>
      </w:r>
      <w:r w:rsidR="00A57802" w:rsidRPr="003A0895">
        <w:rPr>
          <w:rFonts w:ascii="Arial" w:hAnsi="Arial" w:cs="Arial"/>
          <w:b/>
          <w:sz w:val="20"/>
          <w:szCs w:val="20"/>
        </w:rPr>
        <w:t>Primero:</w:t>
      </w:r>
      <w:r w:rsidR="00A57802" w:rsidRPr="003A0895">
        <w:rPr>
          <w:rFonts w:ascii="Arial" w:hAnsi="Arial" w:cs="Arial"/>
          <w:sz w:val="20"/>
          <w:szCs w:val="20"/>
        </w:rPr>
        <w:t xml:space="preserve"> Que la </w:t>
      </w:r>
      <w:r w:rsidR="002B50DB">
        <w:rPr>
          <w:rFonts w:ascii="Arial" w:hAnsi="Arial" w:cs="Arial"/>
          <w:sz w:val="20"/>
          <w:szCs w:val="20"/>
        </w:rPr>
        <w:t>C</w:t>
      </w:r>
      <w:r w:rsidR="00A57802" w:rsidRPr="003A0895">
        <w:rPr>
          <w:rFonts w:ascii="Arial" w:hAnsi="Arial" w:cs="Arial"/>
          <w:sz w:val="20"/>
          <w:szCs w:val="20"/>
        </w:rPr>
        <w:t xml:space="preserve">onstitución Política de los </w:t>
      </w:r>
      <w:r w:rsidR="002B50DB">
        <w:rPr>
          <w:rFonts w:ascii="Arial" w:hAnsi="Arial" w:cs="Arial"/>
          <w:sz w:val="20"/>
          <w:szCs w:val="20"/>
        </w:rPr>
        <w:t>E</w:t>
      </w:r>
      <w:r w:rsidR="00A57802" w:rsidRPr="003A0895">
        <w:rPr>
          <w:rFonts w:ascii="Arial" w:hAnsi="Arial" w:cs="Arial"/>
          <w:sz w:val="20"/>
          <w:szCs w:val="20"/>
        </w:rPr>
        <w:t xml:space="preserve">stados Unidos Mexicanos, en su artículo 115, fracción II, párrafo segundo, establece que los ayuntamientos tendrán facultades para aprobar, de acuerdo con las leyes en materia municipal que deberán expedir las legislaturas de los </w:t>
      </w:r>
      <w:r w:rsidR="002B50DB">
        <w:rPr>
          <w:rFonts w:ascii="Arial" w:hAnsi="Arial" w:cs="Arial"/>
          <w:sz w:val="20"/>
          <w:szCs w:val="20"/>
        </w:rPr>
        <w:t>e</w:t>
      </w:r>
      <w:r w:rsidR="00C1723F" w:rsidRPr="003A0895">
        <w:rPr>
          <w:rFonts w:ascii="Arial" w:hAnsi="Arial" w:cs="Arial"/>
          <w:sz w:val="20"/>
          <w:szCs w:val="20"/>
        </w:rPr>
        <w:t>stados,</w:t>
      </w:r>
      <w:r w:rsidR="009402D1">
        <w:rPr>
          <w:rFonts w:ascii="Arial" w:hAnsi="Arial" w:cs="Arial"/>
          <w:sz w:val="20"/>
          <w:szCs w:val="20"/>
        </w:rPr>
        <w:t xml:space="preserve"> los bandos</w:t>
      </w:r>
      <w:r w:rsidR="00A57802" w:rsidRPr="003A0895">
        <w:rPr>
          <w:rFonts w:ascii="Arial" w:hAnsi="Arial" w:cs="Arial"/>
          <w:sz w:val="20"/>
          <w:szCs w:val="20"/>
        </w:rPr>
        <w:t xml:space="preserve"> de policía y gobierno, los reglamentos, circulares</w:t>
      </w:r>
      <w:r w:rsidR="00C1723F" w:rsidRPr="003A0895">
        <w:rPr>
          <w:rFonts w:ascii="Arial" w:hAnsi="Arial" w:cs="Arial"/>
          <w:sz w:val="20"/>
          <w:szCs w:val="20"/>
        </w:rPr>
        <w:t xml:space="preserve"> y disposiciones administrativas de observancia dentro de sus perspectivas jurisdicciones, que organicen la Administración Pública y municipal, regulen</w:t>
      </w:r>
      <w:r w:rsidR="009402D1">
        <w:rPr>
          <w:rFonts w:ascii="Arial" w:hAnsi="Arial" w:cs="Arial"/>
          <w:sz w:val="20"/>
          <w:szCs w:val="20"/>
        </w:rPr>
        <w:t xml:space="preserve"> las materias, procedimientos, </w:t>
      </w:r>
      <w:r w:rsidR="00C1723F" w:rsidRPr="003A0895">
        <w:rPr>
          <w:rFonts w:ascii="Arial" w:hAnsi="Arial" w:cs="Arial"/>
          <w:sz w:val="20"/>
          <w:szCs w:val="20"/>
        </w:rPr>
        <w:t xml:space="preserve">funciones y servicios públicos de su competencia, </w:t>
      </w:r>
      <w:r>
        <w:rPr>
          <w:rFonts w:ascii="Arial" w:hAnsi="Arial" w:cs="Arial"/>
          <w:sz w:val="20"/>
          <w:szCs w:val="20"/>
        </w:rPr>
        <w:t xml:space="preserve"> </w:t>
      </w:r>
      <w:r w:rsidR="00C1723F" w:rsidRPr="003A0895">
        <w:rPr>
          <w:rFonts w:ascii="Arial" w:hAnsi="Arial" w:cs="Arial"/>
          <w:sz w:val="20"/>
          <w:szCs w:val="20"/>
        </w:rPr>
        <w:t>y aseguren la participación ciudadana y vecinal.</w:t>
      </w:r>
    </w:p>
    <w:p w:rsidR="00A57802" w:rsidRPr="003A0895" w:rsidRDefault="003A0895" w:rsidP="00FA5488">
      <w:pPr>
        <w:jc w:val="both"/>
        <w:rPr>
          <w:rFonts w:ascii="Arial" w:hAnsi="Arial" w:cs="Arial"/>
          <w:sz w:val="20"/>
          <w:szCs w:val="20"/>
        </w:rPr>
      </w:pPr>
      <w:r>
        <w:rPr>
          <w:rFonts w:ascii="Arial" w:hAnsi="Arial" w:cs="Arial"/>
          <w:b/>
          <w:sz w:val="20"/>
          <w:szCs w:val="20"/>
        </w:rPr>
        <w:t xml:space="preserve">    </w:t>
      </w:r>
      <w:r w:rsidR="00C1723F" w:rsidRPr="003A0895">
        <w:rPr>
          <w:rFonts w:ascii="Arial" w:hAnsi="Arial" w:cs="Arial"/>
          <w:b/>
          <w:sz w:val="20"/>
          <w:szCs w:val="20"/>
        </w:rPr>
        <w:t>Segundo:</w:t>
      </w:r>
      <w:r w:rsidR="002B50DB">
        <w:rPr>
          <w:rFonts w:ascii="Arial" w:hAnsi="Arial" w:cs="Arial"/>
          <w:sz w:val="20"/>
          <w:szCs w:val="20"/>
        </w:rPr>
        <w:t xml:space="preserve"> Que la Constitución P</w:t>
      </w:r>
      <w:r w:rsidR="00C1723F" w:rsidRPr="003A0895">
        <w:rPr>
          <w:rFonts w:ascii="Arial" w:hAnsi="Arial" w:cs="Arial"/>
          <w:sz w:val="20"/>
          <w:szCs w:val="20"/>
        </w:rPr>
        <w:t xml:space="preserve">olítica del </w:t>
      </w:r>
      <w:r w:rsidR="002B50DB">
        <w:rPr>
          <w:rFonts w:ascii="Arial" w:hAnsi="Arial" w:cs="Arial"/>
          <w:sz w:val="20"/>
          <w:szCs w:val="20"/>
        </w:rPr>
        <w:t>E</w:t>
      </w:r>
      <w:r w:rsidR="00C1723F" w:rsidRPr="003A0895">
        <w:rPr>
          <w:rFonts w:ascii="Arial" w:hAnsi="Arial" w:cs="Arial"/>
          <w:sz w:val="20"/>
          <w:szCs w:val="20"/>
        </w:rPr>
        <w:t>stado de Yucatán, en su artículo 79, dispone que los ayuntamientos estarán facultados para aprobar, de acuerdo con las bases nor</w:t>
      </w:r>
      <w:r w:rsidR="00B96091" w:rsidRPr="003A0895">
        <w:rPr>
          <w:rFonts w:ascii="Arial" w:hAnsi="Arial" w:cs="Arial"/>
          <w:sz w:val="20"/>
          <w:szCs w:val="20"/>
        </w:rPr>
        <w:t>m</w:t>
      </w:r>
      <w:r w:rsidR="00C1723F" w:rsidRPr="003A0895">
        <w:rPr>
          <w:rFonts w:ascii="Arial" w:hAnsi="Arial" w:cs="Arial"/>
          <w:sz w:val="20"/>
          <w:szCs w:val="20"/>
        </w:rPr>
        <w:t xml:space="preserve">ativas </w:t>
      </w:r>
      <w:r w:rsidR="00062B4E">
        <w:rPr>
          <w:rFonts w:ascii="Arial" w:hAnsi="Arial" w:cs="Arial"/>
          <w:sz w:val="20"/>
          <w:szCs w:val="20"/>
        </w:rPr>
        <w:t>que establezca el Congreso del e</w:t>
      </w:r>
      <w:r w:rsidR="00C1723F" w:rsidRPr="003A0895">
        <w:rPr>
          <w:rFonts w:ascii="Arial" w:hAnsi="Arial" w:cs="Arial"/>
          <w:sz w:val="20"/>
          <w:szCs w:val="20"/>
        </w:rPr>
        <w:t xml:space="preserve">stado, los bandos de policía y gobierno, los reglamentos, circulares y disposiciones administrativas de observancia dentro de sus respectivas jurisdicciones, que organicen la </w:t>
      </w:r>
      <w:r w:rsidR="002B50DB">
        <w:rPr>
          <w:rFonts w:ascii="Arial" w:hAnsi="Arial" w:cs="Arial"/>
          <w:sz w:val="20"/>
          <w:szCs w:val="20"/>
        </w:rPr>
        <w:t>A</w:t>
      </w:r>
      <w:r w:rsidR="00C1723F" w:rsidRPr="003A0895">
        <w:rPr>
          <w:rFonts w:ascii="Arial" w:hAnsi="Arial" w:cs="Arial"/>
          <w:sz w:val="20"/>
          <w:szCs w:val="20"/>
        </w:rPr>
        <w:t xml:space="preserve">dministración </w:t>
      </w:r>
      <w:r w:rsidR="00B96091" w:rsidRPr="003A0895">
        <w:rPr>
          <w:rFonts w:ascii="Arial" w:hAnsi="Arial" w:cs="Arial"/>
          <w:sz w:val="20"/>
          <w:szCs w:val="20"/>
        </w:rPr>
        <w:t xml:space="preserve">Pública </w:t>
      </w:r>
      <w:r w:rsidR="002B50DB">
        <w:rPr>
          <w:rFonts w:ascii="Arial" w:hAnsi="Arial" w:cs="Arial"/>
          <w:sz w:val="20"/>
          <w:szCs w:val="20"/>
        </w:rPr>
        <w:t>M</w:t>
      </w:r>
      <w:r w:rsidR="00B96091" w:rsidRPr="003A0895">
        <w:rPr>
          <w:rFonts w:ascii="Arial" w:hAnsi="Arial" w:cs="Arial"/>
          <w:sz w:val="20"/>
          <w:szCs w:val="20"/>
        </w:rPr>
        <w:t xml:space="preserve">unicipal, regulen las materias, procedimientos, funciones y servicios </w:t>
      </w:r>
      <w:r w:rsidR="00B96091" w:rsidRPr="003A0895">
        <w:rPr>
          <w:rFonts w:ascii="Arial" w:hAnsi="Arial" w:cs="Arial"/>
          <w:sz w:val="20"/>
          <w:szCs w:val="20"/>
        </w:rPr>
        <w:lastRenderedPageBreak/>
        <w:t>públicos de su competencia, y aseguren que la participación ciudadana y vecinal,  la</w:t>
      </w:r>
      <w:r w:rsidR="00C1723F" w:rsidRPr="003A0895">
        <w:rPr>
          <w:rFonts w:ascii="Arial" w:hAnsi="Arial" w:cs="Arial"/>
          <w:sz w:val="20"/>
          <w:szCs w:val="20"/>
        </w:rPr>
        <w:t>s cuales para tener vigilancia deberán ser</w:t>
      </w:r>
      <w:r w:rsidR="00A57802" w:rsidRPr="003A0895">
        <w:rPr>
          <w:rFonts w:ascii="Arial" w:hAnsi="Arial" w:cs="Arial"/>
          <w:sz w:val="20"/>
          <w:szCs w:val="20"/>
        </w:rPr>
        <w:t xml:space="preserve"> </w:t>
      </w:r>
      <w:r w:rsidR="00C1723F" w:rsidRPr="003A0895">
        <w:rPr>
          <w:rFonts w:ascii="Arial" w:hAnsi="Arial" w:cs="Arial"/>
          <w:sz w:val="20"/>
          <w:szCs w:val="20"/>
        </w:rPr>
        <w:t xml:space="preserve">promulgadas por el </w:t>
      </w:r>
      <w:r w:rsidR="00331C71">
        <w:rPr>
          <w:rFonts w:ascii="Arial" w:hAnsi="Arial" w:cs="Arial"/>
          <w:sz w:val="20"/>
          <w:szCs w:val="20"/>
        </w:rPr>
        <w:t>P</w:t>
      </w:r>
      <w:r w:rsidR="00C1723F" w:rsidRPr="003A0895">
        <w:rPr>
          <w:rFonts w:ascii="Arial" w:hAnsi="Arial" w:cs="Arial"/>
          <w:sz w:val="20"/>
          <w:szCs w:val="20"/>
        </w:rPr>
        <w:t xml:space="preserve">residente </w:t>
      </w:r>
      <w:r w:rsidR="00331C71">
        <w:rPr>
          <w:rFonts w:ascii="Arial" w:hAnsi="Arial" w:cs="Arial"/>
          <w:sz w:val="20"/>
          <w:szCs w:val="20"/>
        </w:rPr>
        <w:t>M</w:t>
      </w:r>
      <w:r w:rsidR="00C1723F" w:rsidRPr="003A0895">
        <w:rPr>
          <w:rFonts w:ascii="Arial" w:hAnsi="Arial" w:cs="Arial"/>
          <w:sz w:val="20"/>
          <w:szCs w:val="20"/>
        </w:rPr>
        <w:t>unicipal</w:t>
      </w:r>
      <w:r w:rsidR="00BD0E3D" w:rsidRPr="003A0895">
        <w:rPr>
          <w:rFonts w:ascii="Arial" w:hAnsi="Arial" w:cs="Arial"/>
          <w:sz w:val="20"/>
          <w:szCs w:val="20"/>
        </w:rPr>
        <w:t xml:space="preserve"> y publicadas en la gaceta municipal</w:t>
      </w:r>
      <w:r w:rsidR="00C1723F" w:rsidRPr="003A0895">
        <w:rPr>
          <w:rFonts w:ascii="Arial" w:hAnsi="Arial" w:cs="Arial"/>
          <w:sz w:val="20"/>
          <w:szCs w:val="20"/>
        </w:rPr>
        <w:t>; en los casos en el que el municipio no cuente con ella, la publicación deberá efectuarse en el Diario Oficial del Gobierno del Estado de Yucatán.</w:t>
      </w:r>
    </w:p>
    <w:p w:rsidR="00C1723F" w:rsidRPr="003A0895" w:rsidRDefault="003A0895" w:rsidP="00FA5488">
      <w:pPr>
        <w:jc w:val="both"/>
        <w:rPr>
          <w:rFonts w:ascii="Arial" w:hAnsi="Arial" w:cs="Arial"/>
          <w:sz w:val="20"/>
          <w:szCs w:val="20"/>
        </w:rPr>
      </w:pPr>
      <w:r>
        <w:rPr>
          <w:rFonts w:ascii="Arial" w:hAnsi="Arial" w:cs="Arial"/>
          <w:b/>
          <w:sz w:val="20"/>
          <w:szCs w:val="20"/>
        </w:rPr>
        <w:t xml:space="preserve">    </w:t>
      </w:r>
      <w:r w:rsidR="003702FB" w:rsidRPr="003A0895">
        <w:rPr>
          <w:rFonts w:ascii="Arial" w:hAnsi="Arial" w:cs="Arial"/>
          <w:b/>
          <w:sz w:val="20"/>
          <w:szCs w:val="20"/>
        </w:rPr>
        <w:t>Tercero:</w:t>
      </w:r>
      <w:r w:rsidR="003702FB" w:rsidRPr="003A0895">
        <w:rPr>
          <w:rFonts w:ascii="Arial" w:hAnsi="Arial" w:cs="Arial"/>
          <w:sz w:val="20"/>
          <w:szCs w:val="20"/>
        </w:rPr>
        <w:t xml:space="preserve"> Que la Ley de Gobierno de los Municipios del Estado de Yucatán, de conformidad con su artículo 1, tiene </w:t>
      </w:r>
      <w:r w:rsidR="006C5571">
        <w:rPr>
          <w:rFonts w:ascii="Arial" w:hAnsi="Arial" w:cs="Arial"/>
          <w:sz w:val="20"/>
          <w:szCs w:val="20"/>
        </w:rPr>
        <w:t xml:space="preserve">por </w:t>
      </w:r>
      <w:r w:rsidR="003702FB" w:rsidRPr="003A0895">
        <w:rPr>
          <w:rFonts w:ascii="Arial" w:hAnsi="Arial" w:cs="Arial"/>
          <w:sz w:val="20"/>
          <w:szCs w:val="20"/>
        </w:rPr>
        <w:t>objeto establecer</w:t>
      </w:r>
      <w:r w:rsidR="006C5571">
        <w:rPr>
          <w:rFonts w:ascii="Arial" w:hAnsi="Arial" w:cs="Arial"/>
          <w:sz w:val="20"/>
          <w:szCs w:val="20"/>
        </w:rPr>
        <w:t xml:space="preserve"> las</w:t>
      </w:r>
      <w:r w:rsidR="003702FB" w:rsidRPr="003A0895">
        <w:rPr>
          <w:rFonts w:ascii="Arial" w:hAnsi="Arial" w:cs="Arial"/>
          <w:sz w:val="20"/>
          <w:szCs w:val="20"/>
        </w:rPr>
        <w:t xml:space="preserve"> bases del gobierno municipal, así como la integración, organización y funcionamiento del ayuntamiento, con sujeción </w:t>
      </w:r>
      <w:r w:rsidR="00BA289F" w:rsidRPr="003A0895">
        <w:rPr>
          <w:rFonts w:ascii="Arial" w:hAnsi="Arial" w:cs="Arial"/>
          <w:sz w:val="20"/>
          <w:szCs w:val="20"/>
        </w:rPr>
        <w:t>a los mandatos establecidos por la Constitución Política de los Estados Unid</w:t>
      </w:r>
      <w:r w:rsidR="00B20915">
        <w:rPr>
          <w:rFonts w:ascii="Arial" w:hAnsi="Arial" w:cs="Arial"/>
          <w:sz w:val="20"/>
          <w:szCs w:val="20"/>
        </w:rPr>
        <w:t>os Mexicanos y la Constitución P</w:t>
      </w:r>
      <w:r w:rsidR="00BA289F" w:rsidRPr="003A0895">
        <w:rPr>
          <w:rFonts w:ascii="Arial" w:hAnsi="Arial" w:cs="Arial"/>
          <w:sz w:val="20"/>
          <w:szCs w:val="20"/>
        </w:rPr>
        <w:t xml:space="preserve">olítica del Estado de Yucatán. </w:t>
      </w:r>
    </w:p>
    <w:p w:rsidR="00BA289F" w:rsidRPr="003A0895" w:rsidRDefault="003A0895" w:rsidP="00FA5488">
      <w:pPr>
        <w:jc w:val="both"/>
        <w:rPr>
          <w:rFonts w:ascii="Arial" w:hAnsi="Arial" w:cs="Arial"/>
          <w:sz w:val="20"/>
          <w:szCs w:val="20"/>
        </w:rPr>
      </w:pPr>
      <w:r>
        <w:rPr>
          <w:rFonts w:ascii="Arial" w:hAnsi="Arial" w:cs="Arial"/>
          <w:b/>
          <w:sz w:val="20"/>
          <w:szCs w:val="20"/>
        </w:rPr>
        <w:t xml:space="preserve">    </w:t>
      </w:r>
      <w:r w:rsidR="00BA289F" w:rsidRPr="003A0895">
        <w:rPr>
          <w:rFonts w:ascii="Arial" w:hAnsi="Arial" w:cs="Arial"/>
          <w:b/>
          <w:sz w:val="20"/>
          <w:szCs w:val="20"/>
        </w:rPr>
        <w:t xml:space="preserve">Cuarto: </w:t>
      </w:r>
      <w:r w:rsidR="00BA289F" w:rsidRPr="003A0895">
        <w:rPr>
          <w:rFonts w:ascii="Arial" w:hAnsi="Arial" w:cs="Arial"/>
          <w:sz w:val="20"/>
          <w:szCs w:val="20"/>
        </w:rPr>
        <w:t>Que la referida ley, en su artículo 40, establece que el ayuntamiento tendrá facultades para aprobar el bando de la policía y gobierno, los reglamentos</w:t>
      </w:r>
      <w:r w:rsidR="00D36EC0">
        <w:rPr>
          <w:rFonts w:ascii="Arial" w:hAnsi="Arial" w:cs="Arial"/>
          <w:sz w:val="20"/>
          <w:szCs w:val="20"/>
        </w:rPr>
        <w:t>,</w:t>
      </w:r>
      <w:r w:rsidR="00BA289F" w:rsidRPr="003A0895">
        <w:rPr>
          <w:rFonts w:ascii="Arial" w:hAnsi="Arial" w:cs="Arial"/>
          <w:sz w:val="20"/>
          <w:szCs w:val="20"/>
        </w:rPr>
        <w:t xml:space="preserve"> circulares y disposiciones administrativas de observancia general dentro de su respectiva de su jurisdicción</w:t>
      </w:r>
      <w:r w:rsidR="00D36EC0">
        <w:rPr>
          <w:rFonts w:ascii="Arial" w:hAnsi="Arial" w:cs="Arial"/>
          <w:sz w:val="20"/>
          <w:szCs w:val="20"/>
        </w:rPr>
        <w:t>,</w:t>
      </w:r>
      <w:r w:rsidR="00BA289F" w:rsidRPr="003A0895">
        <w:rPr>
          <w:rFonts w:ascii="Arial" w:hAnsi="Arial" w:cs="Arial"/>
          <w:sz w:val="20"/>
          <w:szCs w:val="20"/>
        </w:rPr>
        <w:t xml:space="preserve"> con el fin de organizar las funciones y los servicios públicos de competencia municipal, de acuerdo con lo dispuesto por la </w:t>
      </w:r>
      <w:r w:rsidR="00F66E1F">
        <w:rPr>
          <w:rFonts w:ascii="Arial" w:hAnsi="Arial" w:cs="Arial"/>
          <w:sz w:val="20"/>
          <w:szCs w:val="20"/>
        </w:rPr>
        <w:t>C</w:t>
      </w:r>
      <w:r w:rsidR="00BA289F" w:rsidRPr="003A0895">
        <w:rPr>
          <w:rFonts w:ascii="Arial" w:hAnsi="Arial" w:cs="Arial"/>
          <w:sz w:val="20"/>
          <w:szCs w:val="20"/>
        </w:rPr>
        <w:t>onstitución Política de los Estados Unidos Mexicanos, la Constitución Política  del Estado de Yucatán y las leyes aplicables. Las disposiciones generales referidas entrarán en vigor el día siguiente al de su publicación en la gaceta munici</w:t>
      </w:r>
      <w:r w:rsidR="00D36EC0">
        <w:rPr>
          <w:rFonts w:ascii="Arial" w:hAnsi="Arial" w:cs="Arial"/>
          <w:sz w:val="20"/>
          <w:szCs w:val="20"/>
        </w:rPr>
        <w:t>pal, salvo</w:t>
      </w:r>
      <w:r w:rsidR="00BA289F" w:rsidRPr="003A0895">
        <w:rPr>
          <w:rFonts w:ascii="Arial" w:hAnsi="Arial" w:cs="Arial"/>
          <w:sz w:val="20"/>
          <w:szCs w:val="20"/>
        </w:rPr>
        <w:t xml:space="preserve"> disposición expresa que ordene el acuerdo respectivo, y serán comun</w:t>
      </w:r>
      <w:r w:rsidR="00D36EC0">
        <w:rPr>
          <w:rFonts w:ascii="Arial" w:hAnsi="Arial" w:cs="Arial"/>
          <w:sz w:val="20"/>
          <w:szCs w:val="20"/>
        </w:rPr>
        <w:t xml:space="preserve">icados en un término no mayor </w:t>
      </w:r>
      <w:r w:rsidR="00BA289F" w:rsidRPr="003A0895">
        <w:rPr>
          <w:rFonts w:ascii="Arial" w:hAnsi="Arial" w:cs="Arial"/>
          <w:sz w:val="20"/>
          <w:szCs w:val="20"/>
        </w:rPr>
        <w:t xml:space="preserve">de quince días </w:t>
      </w:r>
      <w:r w:rsidR="00900BEF" w:rsidRPr="003A0895">
        <w:rPr>
          <w:rFonts w:ascii="Arial" w:hAnsi="Arial" w:cs="Arial"/>
          <w:sz w:val="20"/>
          <w:szCs w:val="20"/>
        </w:rPr>
        <w:t>hábiles</w:t>
      </w:r>
      <w:r w:rsidR="00F66E1F">
        <w:rPr>
          <w:rFonts w:ascii="Arial" w:hAnsi="Arial" w:cs="Arial"/>
          <w:sz w:val="20"/>
          <w:szCs w:val="20"/>
        </w:rPr>
        <w:t xml:space="preserve"> </w:t>
      </w:r>
      <w:r w:rsidR="00900BEF" w:rsidRPr="003A0895">
        <w:rPr>
          <w:rFonts w:ascii="Arial" w:hAnsi="Arial" w:cs="Arial"/>
          <w:sz w:val="20"/>
          <w:szCs w:val="20"/>
        </w:rPr>
        <w:t xml:space="preserve">siguientes </w:t>
      </w:r>
      <w:r w:rsidR="00F66E1F">
        <w:rPr>
          <w:rFonts w:ascii="Arial" w:hAnsi="Arial" w:cs="Arial"/>
          <w:sz w:val="20"/>
          <w:szCs w:val="20"/>
        </w:rPr>
        <w:t xml:space="preserve">al </w:t>
      </w:r>
      <w:r w:rsidR="00900BEF" w:rsidRPr="003A0895">
        <w:rPr>
          <w:rFonts w:ascii="Arial" w:hAnsi="Arial" w:cs="Arial"/>
          <w:sz w:val="20"/>
          <w:szCs w:val="20"/>
        </w:rPr>
        <w:t>de su publicación</w:t>
      </w:r>
      <w:r w:rsidR="00F66E1F">
        <w:rPr>
          <w:rFonts w:ascii="Arial" w:hAnsi="Arial" w:cs="Arial"/>
          <w:sz w:val="20"/>
          <w:szCs w:val="20"/>
        </w:rPr>
        <w:t>, al</w:t>
      </w:r>
      <w:r w:rsidR="00062B4E">
        <w:rPr>
          <w:rFonts w:ascii="Arial" w:hAnsi="Arial" w:cs="Arial"/>
          <w:sz w:val="20"/>
          <w:szCs w:val="20"/>
        </w:rPr>
        <w:t xml:space="preserve"> Congreso del e</w:t>
      </w:r>
      <w:r w:rsidR="00900BEF" w:rsidRPr="003A0895">
        <w:rPr>
          <w:rFonts w:ascii="Arial" w:hAnsi="Arial" w:cs="Arial"/>
          <w:sz w:val="20"/>
          <w:szCs w:val="20"/>
        </w:rPr>
        <w:t>stado para efectos de su compilación y divulgación.</w:t>
      </w:r>
    </w:p>
    <w:p w:rsidR="00900BEF" w:rsidRPr="003A0895" w:rsidRDefault="003A0895" w:rsidP="00FA5488">
      <w:pPr>
        <w:jc w:val="both"/>
        <w:rPr>
          <w:rFonts w:ascii="Arial" w:hAnsi="Arial" w:cs="Arial"/>
          <w:sz w:val="20"/>
          <w:szCs w:val="20"/>
        </w:rPr>
      </w:pPr>
      <w:r>
        <w:rPr>
          <w:rFonts w:ascii="Arial" w:hAnsi="Arial" w:cs="Arial"/>
          <w:b/>
          <w:sz w:val="20"/>
          <w:szCs w:val="20"/>
        </w:rPr>
        <w:t xml:space="preserve">    </w:t>
      </w:r>
      <w:r w:rsidR="00900BEF" w:rsidRPr="003A0895">
        <w:rPr>
          <w:rFonts w:ascii="Arial" w:hAnsi="Arial" w:cs="Arial"/>
          <w:b/>
          <w:sz w:val="20"/>
          <w:szCs w:val="20"/>
        </w:rPr>
        <w:t>Quinto</w:t>
      </w:r>
      <w:r w:rsidR="00900BEF" w:rsidRPr="003A0895">
        <w:rPr>
          <w:rFonts w:ascii="Arial" w:hAnsi="Arial" w:cs="Arial"/>
          <w:sz w:val="20"/>
          <w:szCs w:val="20"/>
        </w:rPr>
        <w:t>: Que la citada ley, en su ar</w:t>
      </w:r>
      <w:r w:rsidR="00D36EC0">
        <w:rPr>
          <w:rFonts w:ascii="Arial" w:hAnsi="Arial" w:cs="Arial"/>
          <w:sz w:val="20"/>
          <w:szCs w:val="20"/>
        </w:rPr>
        <w:t>tículo 41, inciso c), fracción I</w:t>
      </w:r>
      <w:r w:rsidR="00900BEF" w:rsidRPr="003A0895">
        <w:rPr>
          <w:rFonts w:ascii="Arial" w:hAnsi="Arial" w:cs="Arial"/>
          <w:sz w:val="20"/>
          <w:szCs w:val="20"/>
        </w:rPr>
        <w:t xml:space="preserve"> Y XI, dispone que entre las atribuciones del ayuntamiento que serán ejercidas por el cabildo, se encuentra la de haci</w:t>
      </w:r>
      <w:r w:rsidR="00D36EC0">
        <w:rPr>
          <w:rFonts w:ascii="Arial" w:hAnsi="Arial" w:cs="Arial"/>
          <w:sz w:val="20"/>
          <w:szCs w:val="20"/>
        </w:rPr>
        <w:t>enda administrar liberalmente su</w:t>
      </w:r>
      <w:r w:rsidR="00900BEF" w:rsidRPr="003A0895">
        <w:rPr>
          <w:rFonts w:ascii="Arial" w:hAnsi="Arial" w:cs="Arial"/>
          <w:sz w:val="20"/>
          <w:szCs w:val="20"/>
        </w:rPr>
        <w:t xml:space="preserve"> patrimonio y hacienda;  aprobar las iniciativas de Ley de Ingresos y Ley de Haciendas , remitiéndolas al Congreso del Estado para su aprobación. La primera contendrá la estimación de obligaciones o financiamientos destinados a inversiones públicas productivas, entre otros rubros. En este sentido, el artículo 56, fracción II, del propio ordenamiento señala que entre las obligaciones del Presidente Municipal se encentra la de formular y someter a la aprobación del cabildo, la iniciativa de ley de Ingresos y ley de hacienda, el presupuesto de egresos, el bando de policía y gobierno, los reglamentos y demás disposiciones de observancia general, así como publicarlos en la gaceta municipal. </w:t>
      </w:r>
    </w:p>
    <w:p w:rsidR="004C169D" w:rsidRPr="003A0895" w:rsidRDefault="003A0895" w:rsidP="00FA5488">
      <w:pPr>
        <w:jc w:val="both"/>
        <w:rPr>
          <w:rFonts w:ascii="Arial" w:hAnsi="Arial" w:cs="Arial"/>
          <w:sz w:val="20"/>
          <w:szCs w:val="20"/>
        </w:rPr>
      </w:pPr>
      <w:r>
        <w:rPr>
          <w:rFonts w:ascii="Arial" w:hAnsi="Arial" w:cs="Arial"/>
          <w:b/>
          <w:sz w:val="20"/>
          <w:szCs w:val="20"/>
        </w:rPr>
        <w:t xml:space="preserve">    </w:t>
      </w:r>
      <w:r w:rsidRPr="003A0895">
        <w:rPr>
          <w:rFonts w:ascii="Arial" w:hAnsi="Arial" w:cs="Arial"/>
          <w:b/>
          <w:sz w:val="20"/>
          <w:szCs w:val="20"/>
        </w:rPr>
        <w:t xml:space="preserve">Sexto. </w:t>
      </w:r>
      <w:r w:rsidR="004C169D" w:rsidRPr="003A0895">
        <w:rPr>
          <w:rFonts w:ascii="Arial" w:hAnsi="Arial" w:cs="Arial"/>
          <w:sz w:val="20"/>
          <w:szCs w:val="20"/>
        </w:rPr>
        <w:t>Que el congreso del Estado de Yucatán, mediante decreto número 20 publica en el Diario Oficial d</w:t>
      </w:r>
      <w:r w:rsidR="00F66E1F">
        <w:rPr>
          <w:rFonts w:ascii="Arial" w:hAnsi="Arial" w:cs="Arial"/>
          <w:sz w:val="20"/>
          <w:szCs w:val="20"/>
        </w:rPr>
        <w:t xml:space="preserve">e gobierno del Estado de fecha </w:t>
      </w:r>
      <w:r w:rsidR="004C169D" w:rsidRPr="003A0895">
        <w:rPr>
          <w:rFonts w:ascii="Arial" w:hAnsi="Arial" w:cs="Arial"/>
          <w:sz w:val="20"/>
          <w:szCs w:val="20"/>
        </w:rPr>
        <w:t>28 de diciembre de dos mil dieciocho, fue publicado el decreto número 20/2018, po</w:t>
      </w:r>
      <w:r w:rsidR="00903830">
        <w:rPr>
          <w:rFonts w:ascii="Arial" w:hAnsi="Arial" w:cs="Arial"/>
          <w:sz w:val="20"/>
          <w:szCs w:val="20"/>
        </w:rPr>
        <w:t>r el cual se aprueban diversas L</w:t>
      </w:r>
      <w:r w:rsidR="004C169D" w:rsidRPr="003A0895">
        <w:rPr>
          <w:rFonts w:ascii="Arial" w:hAnsi="Arial" w:cs="Arial"/>
          <w:sz w:val="20"/>
          <w:szCs w:val="20"/>
        </w:rPr>
        <w:t>eyes de Ingresos, dentro de las cuales se encuentra la Ley de ingresos, dentro de las cuales se encuentra la Ley de Ingresos del Municipio de Tixkokob, para el ejercicio fiscal 2019.</w:t>
      </w:r>
    </w:p>
    <w:p w:rsidR="0088541A" w:rsidRDefault="00F66E1F" w:rsidP="00FA5488">
      <w:pPr>
        <w:jc w:val="both"/>
        <w:rPr>
          <w:rFonts w:ascii="Arial" w:hAnsi="Arial" w:cs="Arial"/>
          <w:sz w:val="20"/>
          <w:szCs w:val="20"/>
        </w:rPr>
      </w:pPr>
      <w:r>
        <w:rPr>
          <w:rFonts w:ascii="Arial" w:hAnsi="Arial" w:cs="Arial"/>
          <w:sz w:val="20"/>
          <w:szCs w:val="20"/>
        </w:rPr>
        <w:t xml:space="preserve">     </w:t>
      </w:r>
      <w:r w:rsidR="004C169D" w:rsidRPr="003A0895">
        <w:rPr>
          <w:rFonts w:ascii="Arial" w:hAnsi="Arial" w:cs="Arial"/>
          <w:sz w:val="20"/>
          <w:szCs w:val="20"/>
        </w:rPr>
        <w:t>En el referido decr</w:t>
      </w:r>
      <w:r w:rsidR="00F64592" w:rsidRPr="003A0895">
        <w:rPr>
          <w:rFonts w:ascii="Arial" w:hAnsi="Arial" w:cs="Arial"/>
          <w:sz w:val="20"/>
          <w:szCs w:val="20"/>
        </w:rPr>
        <w:t>eto, el Congreso del Estado Libre y Soberano de Yucatán, resaltó que los recursos que pretendía obtener a los Ayuntamientos a través del empréstito solicitado, se destinarán para cumplir, con las obligacione</w:t>
      </w:r>
      <w:r w:rsidR="0088541A">
        <w:rPr>
          <w:rFonts w:ascii="Arial" w:hAnsi="Arial" w:cs="Arial"/>
          <w:sz w:val="20"/>
          <w:szCs w:val="20"/>
        </w:rPr>
        <w:t>s de pago que tiene el municipio.</w:t>
      </w:r>
    </w:p>
    <w:p w:rsidR="00F64592" w:rsidRPr="003A0895" w:rsidRDefault="00F66E1F" w:rsidP="00FA5488">
      <w:pPr>
        <w:jc w:val="both"/>
        <w:rPr>
          <w:rFonts w:ascii="Arial" w:hAnsi="Arial" w:cs="Arial"/>
          <w:sz w:val="20"/>
          <w:szCs w:val="20"/>
        </w:rPr>
      </w:pPr>
      <w:r>
        <w:rPr>
          <w:rFonts w:ascii="Arial" w:hAnsi="Arial" w:cs="Arial"/>
          <w:sz w:val="20"/>
          <w:szCs w:val="20"/>
        </w:rPr>
        <w:t xml:space="preserve">    </w:t>
      </w:r>
      <w:r w:rsidR="00F64592" w:rsidRPr="003A0895">
        <w:rPr>
          <w:rFonts w:ascii="Arial" w:hAnsi="Arial" w:cs="Arial"/>
          <w:sz w:val="20"/>
          <w:szCs w:val="20"/>
        </w:rPr>
        <w:t>Posteriormen</w:t>
      </w:r>
      <w:r>
        <w:rPr>
          <w:rFonts w:ascii="Arial" w:hAnsi="Arial" w:cs="Arial"/>
          <w:sz w:val="20"/>
          <w:szCs w:val="20"/>
        </w:rPr>
        <w:t xml:space="preserve">te el Congreso determinó negar </w:t>
      </w:r>
      <w:r w:rsidR="00F64592" w:rsidRPr="003A0895">
        <w:rPr>
          <w:rFonts w:ascii="Arial" w:hAnsi="Arial" w:cs="Arial"/>
          <w:sz w:val="20"/>
          <w:szCs w:val="20"/>
        </w:rPr>
        <w:t>las solicitudes de los empréstito</w:t>
      </w:r>
      <w:r w:rsidR="00062B4E">
        <w:rPr>
          <w:rFonts w:ascii="Arial" w:hAnsi="Arial" w:cs="Arial"/>
          <w:sz w:val="20"/>
          <w:szCs w:val="20"/>
        </w:rPr>
        <w:t>s</w:t>
      </w:r>
      <w:r w:rsidR="00F64592" w:rsidRPr="003A0895">
        <w:rPr>
          <w:rFonts w:ascii="Arial" w:hAnsi="Arial" w:cs="Arial"/>
          <w:sz w:val="20"/>
          <w:szCs w:val="20"/>
        </w:rPr>
        <w:t xml:space="preserve"> </w:t>
      </w:r>
      <w:r w:rsidR="00062B4E">
        <w:rPr>
          <w:rFonts w:ascii="Arial" w:hAnsi="Arial" w:cs="Arial"/>
          <w:sz w:val="20"/>
          <w:szCs w:val="20"/>
        </w:rPr>
        <w:t>pro</w:t>
      </w:r>
      <w:r w:rsidR="000F11EF" w:rsidRPr="003A0895">
        <w:rPr>
          <w:rFonts w:ascii="Arial" w:hAnsi="Arial" w:cs="Arial"/>
          <w:sz w:val="20"/>
          <w:szCs w:val="20"/>
        </w:rPr>
        <w:t>puestos</w:t>
      </w:r>
      <w:r w:rsidR="00F64592" w:rsidRPr="003A0895">
        <w:rPr>
          <w:rFonts w:ascii="Arial" w:hAnsi="Arial" w:cs="Arial"/>
          <w:sz w:val="20"/>
          <w:szCs w:val="20"/>
        </w:rPr>
        <w:t xml:space="preserve">, por no cumplir totalmente con el principio libre de </w:t>
      </w:r>
      <w:r w:rsidR="000F11EF" w:rsidRPr="003A0895">
        <w:rPr>
          <w:rFonts w:ascii="Arial" w:hAnsi="Arial" w:cs="Arial"/>
          <w:sz w:val="20"/>
          <w:szCs w:val="20"/>
        </w:rPr>
        <w:t>Administración</w:t>
      </w:r>
      <w:r w:rsidR="00F64592" w:rsidRPr="003A0895">
        <w:rPr>
          <w:rFonts w:ascii="Arial" w:hAnsi="Arial" w:cs="Arial"/>
          <w:sz w:val="20"/>
          <w:szCs w:val="20"/>
        </w:rPr>
        <w:t xml:space="preserve"> </w:t>
      </w:r>
      <w:r w:rsidR="000F11EF" w:rsidRPr="003A0895">
        <w:rPr>
          <w:rFonts w:ascii="Arial" w:hAnsi="Arial" w:cs="Arial"/>
          <w:sz w:val="20"/>
          <w:szCs w:val="20"/>
        </w:rPr>
        <w:t>hacendaria</w:t>
      </w:r>
      <w:r w:rsidR="00F64592" w:rsidRPr="003A0895">
        <w:rPr>
          <w:rFonts w:ascii="Arial" w:hAnsi="Arial" w:cs="Arial"/>
          <w:sz w:val="20"/>
          <w:szCs w:val="20"/>
        </w:rPr>
        <w:t xml:space="preserve"> municipal, consagrada en el nume</w:t>
      </w:r>
      <w:r>
        <w:rPr>
          <w:rFonts w:ascii="Arial" w:hAnsi="Arial" w:cs="Arial"/>
          <w:sz w:val="20"/>
          <w:szCs w:val="20"/>
        </w:rPr>
        <w:t xml:space="preserve">ral 115 fracción IV </w:t>
      </w:r>
      <w:r w:rsidR="00F64592" w:rsidRPr="003A0895">
        <w:rPr>
          <w:rFonts w:ascii="Arial" w:hAnsi="Arial" w:cs="Arial"/>
          <w:sz w:val="20"/>
          <w:szCs w:val="20"/>
        </w:rPr>
        <w:t xml:space="preserve">de la </w:t>
      </w:r>
      <w:r>
        <w:rPr>
          <w:rFonts w:ascii="Arial" w:hAnsi="Arial" w:cs="Arial"/>
          <w:sz w:val="20"/>
          <w:szCs w:val="20"/>
        </w:rPr>
        <w:t>C</w:t>
      </w:r>
      <w:r w:rsidR="00F64592" w:rsidRPr="003A0895">
        <w:rPr>
          <w:rFonts w:ascii="Arial" w:hAnsi="Arial" w:cs="Arial"/>
          <w:sz w:val="20"/>
          <w:szCs w:val="20"/>
        </w:rPr>
        <w:t xml:space="preserve">arta </w:t>
      </w:r>
      <w:r>
        <w:rPr>
          <w:rFonts w:ascii="Arial" w:hAnsi="Arial" w:cs="Arial"/>
          <w:sz w:val="20"/>
          <w:szCs w:val="20"/>
        </w:rPr>
        <w:t>M</w:t>
      </w:r>
      <w:r w:rsidR="00F64592" w:rsidRPr="003A0895">
        <w:rPr>
          <w:rFonts w:ascii="Arial" w:hAnsi="Arial" w:cs="Arial"/>
          <w:sz w:val="20"/>
          <w:szCs w:val="20"/>
        </w:rPr>
        <w:t xml:space="preserve">agna, pues los empréstitos son ingresos municipales no sujetos a dicho régimen, máxime que los presentes contravienen directamente lo establecido por el artículo 117 fracción VIII, de la misma constitución general. </w:t>
      </w:r>
    </w:p>
    <w:p w:rsidR="00BD1267" w:rsidRDefault="00F66E1F" w:rsidP="00FA5488">
      <w:pPr>
        <w:jc w:val="both"/>
        <w:rPr>
          <w:rFonts w:ascii="Arial" w:hAnsi="Arial" w:cs="Arial"/>
          <w:sz w:val="20"/>
          <w:szCs w:val="20"/>
        </w:rPr>
      </w:pPr>
      <w:r>
        <w:rPr>
          <w:rFonts w:ascii="Arial" w:hAnsi="Arial" w:cs="Arial"/>
          <w:sz w:val="20"/>
          <w:szCs w:val="20"/>
        </w:rPr>
        <w:t xml:space="preserve">   </w:t>
      </w:r>
      <w:r w:rsidR="00F64592" w:rsidRPr="00F66E1F">
        <w:rPr>
          <w:rFonts w:ascii="Arial" w:hAnsi="Arial" w:cs="Arial"/>
          <w:b/>
          <w:sz w:val="20"/>
          <w:szCs w:val="20"/>
        </w:rPr>
        <w:t>Séptimo.</w:t>
      </w:r>
      <w:r w:rsidR="00F64592" w:rsidRPr="003A0895">
        <w:rPr>
          <w:rFonts w:ascii="Arial" w:hAnsi="Arial" w:cs="Arial"/>
          <w:sz w:val="20"/>
          <w:szCs w:val="20"/>
        </w:rPr>
        <w:t xml:space="preserve"> Que de conformidad c</w:t>
      </w:r>
      <w:r w:rsidR="00903830">
        <w:rPr>
          <w:rFonts w:ascii="Arial" w:hAnsi="Arial" w:cs="Arial"/>
          <w:sz w:val="20"/>
          <w:szCs w:val="20"/>
        </w:rPr>
        <w:t>on el artículo 1 de Ley de los T</w:t>
      </w:r>
      <w:r w:rsidR="00F64592" w:rsidRPr="003A0895">
        <w:rPr>
          <w:rFonts w:ascii="Arial" w:hAnsi="Arial" w:cs="Arial"/>
          <w:sz w:val="20"/>
          <w:szCs w:val="20"/>
        </w:rPr>
        <w:t>rabaja</w:t>
      </w:r>
      <w:r w:rsidR="00903830">
        <w:rPr>
          <w:rFonts w:ascii="Arial" w:hAnsi="Arial" w:cs="Arial"/>
          <w:sz w:val="20"/>
          <w:szCs w:val="20"/>
        </w:rPr>
        <w:t>dores al Servicio del Estado y M</w:t>
      </w:r>
      <w:r w:rsidR="00F64592" w:rsidRPr="003A0895">
        <w:rPr>
          <w:rFonts w:ascii="Arial" w:hAnsi="Arial" w:cs="Arial"/>
          <w:sz w:val="20"/>
          <w:szCs w:val="20"/>
        </w:rPr>
        <w:t xml:space="preserve">unicipio de Yucatán, ésta es de observancia general para los </w:t>
      </w:r>
      <w:r w:rsidR="0088541A">
        <w:rPr>
          <w:rFonts w:ascii="Arial" w:hAnsi="Arial" w:cs="Arial"/>
          <w:sz w:val="20"/>
          <w:szCs w:val="20"/>
        </w:rPr>
        <w:t>T</w:t>
      </w:r>
      <w:r w:rsidR="00F64592" w:rsidRPr="003A0895">
        <w:rPr>
          <w:rFonts w:ascii="Arial" w:hAnsi="Arial" w:cs="Arial"/>
          <w:sz w:val="20"/>
          <w:szCs w:val="20"/>
        </w:rPr>
        <w:t xml:space="preserve">itulares y </w:t>
      </w:r>
      <w:r w:rsidR="0088541A">
        <w:rPr>
          <w:rFonts w:ascii="Arial" w:hAnsi="Arial" w:cs="Arial"/>
          <w:sz w:val="20"/>
          <w:szCs w:val="20"/>
        </w:rPr>
        <w:t>T</w:t>
      </w:r>
      <w:r w:rsidR="00903830">
        <w:rPr>
          <w:rFonts w:ascii="Arial" w:hAnsi="Arial" w:cs="Arial"/>
          <w:sz w:val="20"/>
          <w:szCs w:val="20"/>
        </w:rPr>
        <w:t>rabajadores de las D</w:t>
      </w:r>
      <w:r w:rsidR="00F64592" w:rsidRPr="003A0895">
        <w:rPr>
          <w:rFonts w:ascii="Arial" w:hAnsi="Arial" w:cs="Arial"/>
          <w:sz w:val="20"/>
          <w:szCs w:val="20"/>
        </w:rPr>
        <w:t>ependencias de Administració</w:t>
      </w:r>
      <w:r w:rsidR="00062B4E">
        <w:rPr>
          <w:rFonts w:ascii="Arial" w:hAnsi="Arial" w:cs="Arial"/>
          <w:sz w:val="20"/>
          <w:szCs w:val="20"/>
        </w:rPr>
        <w:t>n Pública Centralizada, de los P</w:t>
      </w:r>
      <w:r w:rsidR="00F64592" w:rsidRPr="003A0895">
        <w:rPr>
          <w:rFonts w:ascii="Arial" w:hAnsi="Arial" w:cs="Arial"/>
          <w:sz w:val="20"/>
          <w:szCs w:val="20"/>
        </w:rPr>
        <w:t>oderes Legislativo y Judicial, así como de los municipios del Estado de Yucatán; en caso el Ayuntamiento de Tixkokob, y el artículo 45 de la referid</w:t>
      </w:r>
      <w:r w:rsidR="0088541A">
        <w:rPr>
          <w:rFonts w:ascii="Arial" w:hAnsi="Arial" w:cs="Arial"/>
          <w:sz w:val="20"/>
          <w:szCs w:val="20"/>
        </w:rPr>
        <w:t>a</w:t>
      </w:r>
      <w:r w:rsidR="00F64592" w:rsidRPr="003A0895">
        <w:rPr>
          <w:rFonts w:ascii="Arial" w:hAnsi="Arial" w:cs="Arial"/>
          <w:sz w:val="20"/>
          <w:szCs w:val="20"/>
        </w:rPr>
        <w:t xml:space="preserve"> Ley, establece </w:t>
      </w:r>
      <w:r w:rsidR="000F11EF" w:rsidRPr="003A0895">
        <w:rPr>
          <w:rFonts w:ascii="Arial" w:hAnsi="Arial" w:cs="Arial"/>
          <w:sz w:val="20"/>
          <w:szCs w:val="20"/>
        </w:rPr>
        <w:t xml:space="preserve">que son obligaciones de </w:t>
      </w:r>
      <w:r w:rsidR="00F64592" w:rsidRPr="003A0895">
        <w:rPr>
          <w:rFonts w:ascii="Arial" w:hAnsi="Arial" w:cs="Arial"/>
          <w:sz w:val="20"/>
          <w:szCs w:val="20"/>
        </w:rPr>
        <w:t>los Titulares a que se refiere el artículo 1 de esta Ley:</w:t>
      </w:r>
    </w:p>
    <w:p w:rsidR="000F11EF" w:rsidRPr="003A0895" w:rsidRDefault="000F11EF" w:rsidP="00FA5488">
      <w:pPr>
        <w:jc w:val="both"/>
        <w:rPr>
          <w:rFonts w:ascii="Arial" w:hAnsi="Arial" w:cs="Arial"/>
          <w:sz w:val="20"/>
          <w:szCs w:val="20"/>
        </w:rPr>
      </w:pPr>
      <w:r w:rsidRPr="003A0895">
        <w:rPr>
          <w:rFonts w:ascii="Arial" w:hAnsi="Arial" w:cs="Arial"/>
          <w:sz w:val="20"/>
          <w:szCs w:val="20"/>
        </w:rPr>
        <w:lastRenderedPageBreak/>
        <w:t>I.-…</w:t>
      </w:r>
    </w:p>
    <w:p w:rsidR="000F11EF" w:rsidRPr="003A0895" w:rsidRDefault="000F11EF" w:rsidP="00FA5488">
      <w:pPr>
        <w:jc w:val="both"/>
        <w:rPr>
          <w:rFonts w:ascii="Arial" w:hAnsi="Arial" w:cs="Arial"/>
          <w:sz w:val="20"/>
          <w:szCs w:val="20"/>
        </w:rPr>
      </w:pPr>
      <w:r w:rsidRPr="003A0895">
        <w:rPr>
          <w:rFonts w:ascii="Arial" w:hAnsi="Arial" w:cs="Arial"/>
          <w:sz w:val="20"/>
          <w:szCs w:val="20"/>
        </w:rPr>
        <w:t>II.-…</w:t>
      </w:r>
    </w:p>
    <w:p w:rsidR="000F11EF" w:rsidRPr="003A0895" w:rsidRDefault="000F11EF" w:rsidP="00FA5488">
      <w:pPr>
        <w:jc w:val="both"/>
        <w:rPr>
          <w:rFonts w:ascii="Arial" w:hAnsi="Arial" w:cs="Arial"/>
          <w:sz w:val="20"/>
          <w:szCs w:val="20"/>
        </w:rPr>
      </w:pPr>
      <w:r w:rsidRPr="003A0895">
        <w:rPr>
          <w:rFonts w:ascii="Arial" w:hAnsi="Arial" w:cs="Arial"/>
          <w:sz w:val="20"/>
          <w:szCs w:val="20"/>
        </w:rPr>
        <w:t>III.-…</w:t>
      </w:r>
    </w:p>
    <w:p w:rsidR="00D41A49" w:rsidRPr="003A0895" w:rsidRDefault="000F11EF" w:rsidP="00FA5488">
      <w:pPr>
        <w:jc w:val="both"/>
        <w:rPr>
          <w:rFonts w:ascii="Arial" w:hAnsi="Arial" w:cs="Arial"/>
          <w:sz w:val="20"/>
          <w:szCs w:val="20"/>
        </w:rPr>
      </w:pPr>
      <w:r w:rsidRPr="003A0895">
        <w:rPr>
          <w:rFonts w:ascii="Arial" w:hAnsi="Arial" w:cs="Arial"/>
          <w:sz w:val="20"/>
          <w:szCs w:val="20"/>
        </w:rPr>
        <w:t>IV.-</w:t>
      </w:r>
      <w:r w:rsidR="00FE4100" w:rsidRPr="003A0895">
        <w:rPr>
          <w:rFonts w:ascii="Arial" w:hAnsi="Arial" w:cs="Arial"/>
          <w:sz w:val="20"/>
          <w:szCs w:val="20"/>
        </w:rPr>
        <w:t>De acuerdo con la partida que en el presupuesto de egresos se haya f</w:t>
      </w:r>
      <w:r w:rsidR="00903830">
        <w:rPr>
          <w:rFonts w:ascii="Arial" w:hAnsi="Arial" w:cs="Arial"/>
          <w:sz w:val="20"/>
          <w:szCs w:val="20"/>
        </w:rPr>
        <w:t>ijado para tal efecto, cubrir l</w:t>
      </w:r>
      <w:r w:rsidR="00FE4100" w:rsidRPr="003A0895">
        <w:rPr>
          <w:rFonts w:ascii="Arial" w:hAnsi="Arial" w:cs="Arial"/>
          <w:sz w:val="20"/>
          <w:szCs w:val="20"/>
        </w:rPr>
        <w:t xml:space="preserve">a indemnización por separación injustificada cuando los trabajadores hayan optado por ella y pagar en una sola exhibición los salarios o los sueldos caídos, prima vacacional, prima dominical, aguinaldos y quinquenios, en los términos del laudo </w:t>
      </w:r>
      <w:r w:rsidR="00D41A49" w:rsidRPr="003A0895">
        <w:rPr>
          <w:rFonts w:ascii="Arial" w:hAnsi="Arial" w:cs="Arial"/>
          <w:sz w:val="20"/>
          <w:szCs w:val="20"/>
        </w:rPr>
        <w:t xml:space="preserve">definitivo. </w:t>
      </w:r>
    </w:p>
    <w:p w:rsidR="00FE4100" w:rsidRPr="003A0895" w:rsidRDefault="003A0895" w:rsidP="00FA5488">
      <w:pPr>
        <w:jc w:val="both"/>
        <w:rPr>
          <w:rFonts w:ascii="Arial" w:hAnsi="Arial" w:cs="Arial"/>
          <w:sz w:val="20"/>
          <w:szCs w:val="20"/>
        </w:rPr>
      </w:pPr>
      <w:r>
        <w:rPr>
          <w:rFonts w:ascii="Arial" w:hAnsi="Arial" w:cs="Arial"/>
          <w:b/>
          <w:sz w:val="20"/>
          <w:szCs w:val="20"/>
        </w:rPr>
        <w:t xml:space="preserve">      </w:t>
      </w:r>
      <w:r w:rsidR="00D41A49" w:rsidRPr="003A0895">
        <w:rPr>
          <w:rFonts w:ascii="Arial" w:hAnsi="Arial" w:cs="Arial"/>
          <w:b/>
          <w:sz w:val="20"/>
          <w:szCs w:val="20"/>
        </w:rPr>
        <w:t>Octavo.</w:t>
      </w:r>
      <w:r w:rsidR="00D41A49" w:rsidRPr="003A0895">
        <w:rPr>
          <w:rFonts w:ascii="Arial" w:hAnsi="Arial" w:cs="Arial"/>
          <w:sz w:val="20"/>
          <w:szCs w:val="20"/>
        </w:rPr>
        <w:t xml:space="preserve"> Que el cumplimiento de</w:t>
      </w:r>
      <w:r w:rsidR="00E91856">
        <w:rPr>
          <w:rFonts w:ascii="Arial" w:hAnsi="Arial" w:cs="Arial"/>
          <w:sz w:val="20"/>
          <w:szCs w:val="20"/>
        </w:rPr>
        <w:t xml:space="preserve"> los objetivos y metas de los programas </w:t>
      </w:r>
      <w:r w:rsidR="00D41A49" w:rsidRPr="003A0895">
        <w:rPr>
          <w:rFonts w:ascii="Arial" w:hAnsi="Arial" w:cs="Arial"/>
          <w:sz w:val="20"/>
          <w:szCs w:val="20"/>
        </w:rPr>
        <w:t xml:space="preserve">prioritarios, no deben afectarse en el cumplimientos de las obligaciones </w:t>
      </w:r>
      <w:r w:rsidR="00FE4100" w:rsidRPr="003A0895">
        <w:rPr>
          <w:rFonts w:ascii="Arial" w:hAnsi="Arial" w:cs="Arial"/>
          <w:sz w:val="20"/>
          <w:szCs w:val="20"/>
        </w:rPr>
        <w:t xml:space="preserve"> </w:t>
      </w:r>
      <w:r w:rsidR="00D41A49" w:rsidRPr="003A0895">
        <w:rPr>
          <w:rFonts w:ascii="Arial" w:hAnsi="Arial" w:cs="Arial"/>
          <w:sz w:val="20"/>
          <w:szCs w:val="20"/>
        </w:rPr>
        <w:t xml:space="preserve">del Ayuntamiento de Tixkokob, ya que la ejecución de las sentencias afectarían gravemente a la sociedad en mayor proporción a los beneficios que pudiera obtener las particulares que tienen procesos en contra del Municipio, pues se dejaría de prestar los servicios públicos sociales dirigidos a la comunidad, ya que la sociedad se encuentra interesada en que no se interrumpa </w:t>
      </w:r>
      <w:r w:rsidR="00E91856">
        <w:rPr>
          <w:rFonts w:ascii="Arial" w:hAnsi="Arial" w:cs="Arial"/>
          <w:sz w:val="20"/>
          <w:szCs w:val="20"/>
        </w:rPr>
        <w:t xml:space="preserve">éstos </w:t>
      </w:r>
      <w:r w:rsidR="00D41A49" w:rsidRPr="003A0895">
        <w:rPr>
          <w:rFonts w:ascii="Arial" w:hAnsi="Arial" w:cs="Arial"/>
          <w:sz w:val="20"/>
          <w:szCs w:val="20"/>
        </w:rPr>
        <w:t>servicios y</w:t>
      </w:r>
      <w:r w:rsidR="00E91856">
        <w:rPr>
          <w:rFonts w:ascii="Arial" w:hAnsi="Arial" w:cs="Arial"/>
          <w:sz w:val="20"/>
          <w:szCs w:val="20"/>
        </w:rPr>
        <w:t xml:space="preserve"> que</w:t>
      </w:r>
      <w:r w:rsidR="00D41A49" w:rsidRPr="003A0895">
        <w:rPr>
          <w:rFonts w:ascii="Arial" w:hAnsi="Arial" w:cs="Arial"/>
          <w:sz w:val="20"/>
          <w:szCs w:val="20"/>
        </w:rPr>
        <w:t xml:space="preserve"> sean prestados</w:t>
      </w:r>
      <w:r w:rsidR="00395FC4" w:rsidRPr="003A0895">
        <w:rPr>
          <w:rFonts w:ascii="Arial" w:hAnsi="Arial" w:cs="Arial"/>
          <w:sz w:val="20"/>
          <w:szCs w:val="20"/>
        </w:rPr>
        <w:t xml:space="preserve"> en forma eficiente, segura e impostergable, dada la relevancia y transcendencia social que representan </w:t>
      </w:r>
      <w:r w:rsidR="00D41A49" w:rsidRPr="003A0895">
        <w:rPr>
          <w:rFonts w:ascii="Arial" w:hAnsi="Arial" w:cs="Arial"/>
          <w:sz w:val="20"/>
          <w:szCs w:val="20"/>
        </w:rPr>
        <w:t xml:space="preserve">  </w:t>
      </w:r>
      <w:r w:rsidR="00395FC4" w:rsidRPr="003A0895">
        <w:rPr>
          <w:rFonts w:ascii="Arial" w:hAnsi="Arial" w:cs="Arial"/>
          <w:sz w:val="20"/>
          <w:szCs w:val="20"/>
        </w:rPr>
        <w:t xml:space="preserve">esos servicios primarios, las cuales son inherentes a la paz social seguridad jurídica de la colectividad, no puede impedirse su prestación forma alguna. </w:t>
      </w:r>
    </w:p>
    <w:p w:rsidR="00395FC4" w:rsidRPr="003A0895" w:rsidRDefault="003A0895" w:rsidP="00FA5488">
      <w:pPr>
        <w:jc w:val="both"/>
        <w:rPr>
          <w:rFonts w:ascii="Arial" w:hAnsi="Arial" w:cs="Arial"/>
          <w:sz w:val="20"/>
          <w:szCs w:val="20"/>
        </w:rPr>
      </w:pPr>
      <w:r>
        <w:rPr>
          <w:rFonts w:ascii="Arial" w:hAnsi="Arial" w:cs="Arial"/>
          <w:b/>
          <w:sz w:val="20"/>
          <w:szCs w:val="20"/>
        </w:rPr>
        <w:t xml:space="preserve">     </w:t>
      </w:r>
      <w:r w:rsidR="00A81B98" w:rsidRPr="003A0895">
        <w:rPr>
          <w:rFonts w:ascii="Arial" w:hAnsi="Arial" w:cs="Arial"/>
          <w:b/>
          <w:sz w:val="20"/>
          <w:szCs w:val="20"/>
        </w:rPr>
        <w:t>Noveno</w:t>
      </w:r>
      <w:r w:rsidRPr="003A0895">
        <w:rPr>
          <w:rFonts w:ascii="Arial" w:hAnsi="Arial" w:cs="Arial"/>
          <w:sz w:val="20"/>
          <w:szCs w:val="20"/>
        </w:rPr>
        <w:t xml:space="preserve">.- </w:t>
      </w:r>
      <w:r w:rsidR="00A81B98" w:rsidRPr="003A0895">
        <w:rPr>
          <w:rFonts w:ascii="Arial" w:hAnsi="Arial" w:cs="Arial"/>
          <w:sz w:val="20"/>
          <w:szCs w:val="20"/>
        </w:rPr>
        <w:t>En esta vista de lo anterior expuesto, es necesario que el ayuntamiento de Tixkokob, incremente la actividades recaudadora, para hacer frente las obligaciones de pago derivadas de sentencia ejecutoriadas, para lo cual es menester modificar el marco normativo financiero municipal, para que permita consolidar un sistema de captación de recursos que permita contar con suficiencia presupuestal, y que el congreso proporcione y autorice los montos necesarios como parte de la política económica y social, de acuerdo a las estrategias y prioridades de desarrollo para el sostenimiento y desempeño de las actividades del municipio .</w:t>
      </w:r>
    </w:p>
    <w:p w:rsidR="00A81B98" w:rsidRPr="003A0895" w:rsidRDefault="003A0895" w:rsidP="00FA5488">
      <w:pPr>
        <w:jc w:val="both"/>
        <w:rPr>
          <w:rFonts w:ascii="Arial" w:hAnsi="Arial" w:cs="Arial"/>
          <w:sz w:val="20"/>
          <w:szCs w:val="20"/>
        </w:rPr>
      </w:pPr>
      <w:r>
        <w:rPr>
          <w:rFonts w:ascii="Arial" w:hAnsi="Arial" w:cs="Arial"/>
          <w:b/>
          <w:sz w:val="20"/>
          <w:szCs w:val="20"/>
        </w:rPr>
        <w:t xml:space="preserve">    </w:t>
      </w:r>
      <w:r w:rsidR="00A81B98" w:rsidRPr="003A0895">
        <w:rPr>
          <w:rFonts w:ascii="Arial" w:hAnsi="Arial" w:cs="Arial"/>
          <w:b/>
          <w:sz w:val="20"/>
          <w:szCs w:val="20"/>
        </w:rPr>
        <w:t>Décimo.-</w:t>
      </w:r>
      <w:r w:rsidR="00A81B98" w:rsidRPr="003A0895">
        <w:rPr>
          <w:rFonts w:ascii="Arial" w:hAnsi="Arial" w:cs="Arial"/>
          <w:sz w:val="20"/>
          <w:szCs w:val="20"/>
        </w:rPr>
        <w:t xml:space="preserve"> El motivo, de la ref</w:t>
      </w:r>
      <w:r w:rsidR="008D7FDA" w:rsidRPr="003A0895">
        <w:rPr>
          <w:rFonts w:ascii="Arial" w:hAnsi="Arial" w:cs="Arial"/>
          <w:sz w:val="20"/>
          <w:szCs w:val="20"/>
        </w:rPr>
        <w:t xml:space="preserve">orma es hacer frente a las obligaciones legales que en este momento atraviesa el municipio debido a que vienen arrastrando laudos que obligan a cumplir con un pago a favor de particulares, que en su momento demandaron el Ayuntamiento de Tixkokob por despidos injustificados; motivo por el cual se tiene la necesidad de modificar el artículo 12 de la Ley de </w:t>
      </w:r>
      <w:r w:rsidR="0088541A">
        <w:rPr>
          <w:rFonts w:ascii="Arial" w:hAnsi="Arial" w:cs="Arial"/>
          <w:sz w:val="20"/>
          <w:szCs w:val="20"/>
        </w:rPr>
        <w:t>I</w:t>
      </w:r>
      <w:r w:rsidR="008D7FDA" w:rsidRPr="003A0895">
        <w:rPr>
          <w:rFonts w:ascii="Arial" w:hAnsi="Arial" w:cs="Arial"/>
          <w:sz w:val="20"/>
          <w:szCs w:val="20"/>
        </w:rPr>
        <w:t xml:space="preserve">ngresos en la partida </w:t>
      </w:r>
      <w:r w:rsidR="004B4314" w:rsidRPr="003A0895">
        <w:rPr>
          <w:rFonts w:ascii="Arial" w:hAnsi="Arial" w:cs="Arial"/>
          <w:sz w:val="20"/>
          <w:szCs w:val="20"/>
        </w:rPr>
        <w:t>de ingresos extraordinarios, denominada “Transferencias, Asignaciones, Subsidios y Otras Ayudas”, con la finalid</w:t>
      </w:r>
      <w:r w:rsidR="00A278C1">
        <w:rPr>
          <w:rFonts w:ascii="Arial" w:hAnsi="Arial" w:cs="Arial"/>
          <w:sz w:val="20"/>
          <w:szCs w:val="20"/>
        </w:rPr>
        <w:t>ad de no afectar los intereses y programas del A</w:t>
      </w:r>
      <w:r w:rsidR="004B4314" w:rsidRPr="003A0895">
        <w:rPr>
          <w:rFonts w:ascii="Arial" w:hAnsi="Arial" w:cs="Arial"/>
          <w:sz w:val="20"/>
          <w:szCs w:val="20"/>
        </w:rPr>
        <w:t>yuntamiento en el ejercicio fiscal 2019 y que el congreso autorice los ingresos extraordinarios que permitan hacer frente dichas obligaciones.</w:t>
      </w:r>
    </w:p>
    <w:p w:rsidR="004B4314" w:rsidRPr="003A0895" w:rsidRDefault="00BD1267" w:rsidP="00FA5488">
      <w:pPr>
        <w:jc w:val="both"/>
        <w:rPr>
          <w:rFonts w:ascii="Arial" w:hAnsi="Arial" w:cs="Arial"/>
          <w:sz w:val="20"/>
          <w:szCs w:val="20"/>
        </w:rPr>
      </w:pPr>
      <w:r>
        <w:rPr>
          <w:rFonts w:ascii="Arial" w:hAnsi="Arial" w:cs="Arial"/>
          <w:b/>
          <w:sz w:val="20"/>
          <w:szCs w:val="20"/>
        </w:rPr>
        <w:t xml:space="preserve">     </w:t>
      </w:r>
      <w:r w:rsidR="004B4314" w:rsidRPr="003A0895">
        <w:rPr>
          <w:rFonts w:ascii="Arial" w:hAnsi="Arial" w:cs="Arial"/>
          <w:b/>
          <w:sz w:val="20"/>
          <w:szCs w:val="20"/>
        </w:rPr>
        <w:t xml:space="preserve">Décimo </w:t>
      </w:r>
      <w:r w:rsidR="00EA7D1A">
        <w:rPr>
          <w:rFonts w:ascii="Arial" w:hAnsi="Arial" w:cs="Arial"/>
          <w:b/>
          <w:sz w:val="20"/>
          <w:szCs w:val="20"/>
        </w:rPr>
        <w:t>P</w:t>
      </w:r>
      <w:r w:rsidR="004B4314" w:rsidRPr="003A0895">
        <w:rPr>
          <w:rFonts w:ascii="Arial" w:hAnsi="Arial" w:cs="Arial"/>
          <w:b/>
          <w:sz w:val="20"/>
          <w:szCs w:val="20"/>
        </w:rPr>
        <w:t>rimero.-</w:t>
      </w:r>
      <w:r w:rsidR="004B4314" w:rsidRPr="003A0895">
        <w:rPr>
          <w:rFonts w:ascii="Arial" w:hAnsi="Arial" w:cs="Arial"/>
          <w:sz w:val="20"/>
          <w:szCs w:val="20"/>
        </w:rPr>
        <w:t xml:space="preserve"> El </w:t>
      </w:r>
      <w:r w:rsidR="0088541A">
        <w:rPr>
          <w:rFonts w:ascii="Arial" w:hAnsi="Arial" w:cs="Arial"/>
          <w:sz w:val="20"/>
          <w:szCs w:val="20"/>
        </w:rPr>
        <w:t>A</w:t>
      </w:r>
      <w:r w:rsidR="004B4314" w:rsidRPr="003A0895">
        <w:rPr>
          <w:rFonts w:ascii="Arial" w:hAnsi="Arial" w:cs="Arial"/>
          <w:sz w:val="20"/>
          <w:szCs w:val="20"/>
        </w:rPr>
        <w:t xml:space="preserve">yuntamiento de Tixkokob, debe aprobar en sesión de cabildo la iniciativa de reforma artículo 12 de la Ley de Ingresos del Municipio de Tixkokob, Yucatán, para el ejercicio fiscal2019, para quedar como sigue: </w:t>
      </w:r>
    </w:p>
    <w:p w:rsidR="004B4314" w:rsidRPr="003A0895" w:rsidRDefault="004B4314" w:rsidP="00FA5488">
      <w:pPr>
        <w:jc w:val="both"/>
        <w:rPr>
          <w:rFonts w:ascii="Arial" w:hAnsi="Arial" w:cs="Arial"/>
          <w:sz w:val="20"/>
          <w:szCs w:val="20"/>
        </w:rPr>
      </w:pPr>
      <w:r w:rsidRPr="003A0895">
        <w:rPr>
          <w:rFonts w:ascii="Arial" w:hAnsi="Arial" w:cs="Arial"/>
          <w:sz w:val="20"/>
          <w:szCs w:val="20"/>
        </w:rPr>
        <w:t>Articulo 12.-….</w:t>
      </w:r>
    </w:p>
    <w:p w:rsidR="004B4314" w:rsidRPr="003A0895" w:rsidRDefault="004B4314" w:rsidP="00FA5488">
      <w:pPr>
        <w:jc w:val="both"/>
        <w:rPr>
          <w:rFonts w:ascii="Arial" w:hAnsi="Arial" w:cs="Arial"/>
          <w:sz w:val="20"/>
          <w:szCs w:val="20"/>
        </w:rPr>
      </w:pPr>
      <w:r w:rsidRPr="003A0895">
        <w:rPr>
          <w:rFonts w:ascii="Arial" w:hAnsi="Arial" w:cs="Arial"/>
          <w:sz w:val="20"/>
          <w:szCs w:val="20"/>
        </w:rPr>
        <w:t>….</w:t>
      </w:r>
    </w:p>
    <w:tbl>
      <w:tblPr>
        <w:tblStyle w:val="Tablaconcuadrcula"/>
        <w:tblW w:w="0" w:type="auto"/>
        <w:tblInd w:w="421" w:type="dxa"/>
        <w:tblLook w:val="04A0" w:firstRow="1" w:lastRow="0" w:firstColumn="1" w:lastColumn="0" w:noHBand="0" w:noVBand="1"/>
      </w:tblPr>
      <w:tblGrid>
        <w:gridCol w:w="6378"/>
        <w:gridCol w:w="2029"/>
      </w:tblGrid>
      <w:tr w:rsidR="004B4314" w:rsidTr="00BD1267">
        <w:tc>
          <w:tcPr>
            <w:tcW w:w="6378" w:type="dxa"/>
          </w:tcPr>
          <w:p w:rsidR="004B4314" w:rsidRPr="003A0895" w:rsidRDefault="004B4314" w:rsidP="00FA5488">
            <w:pPr>
              <w:jc w:val="both"/>
              <w:rPr>
                <w:rFonts w:ascii="Arial" w:hAnsi="Arial" w:cs="Arial"/>
                <w:b/>
                <w:sz w:val="20"/>
                <w:szCs w:val="20"/>
              </w:rPr>
            </w:pPr>
            <w:r w:rsidRPr="003A0895">
              <w:rPr>
                <w:rFonts w:ascii="Arial" w:hAnsi="Arial" w:cs="Arial"/>
                <w:b/>
                <w:sz w:val="20"/>
                <w:szCs w:val="20"/>
              </w:rPr>
              <w:t>Transferencias, Asignaciones, Subsidios y Otras Ayudas</w:t>
            </w:r>
          </w:p>
        </w:tc>
        <w:tc>
          <w:tcPr>
            <w:tcW w:w="2029" w:type="dxa"/>
          </w:tcPr>
          <w:p w:rsidR="004B4314" w:rsidRPr="003A0895" w:rsidRDefault="004B4314" w:rsidP="004B4314">
            <w:pPr>
              <w:jc w:val="right"/>
              <w:rPr>
                <w:rFonts w:ascii="Arial" w:hAnsi="Arial" w:cs="Arial"/>
                <w:b/>
                <w:sz w:val="20"/>
                <w:szCs w:val="20"/>
              </w:rPr>
            </w:pPr>
            <w:r w:rsidRPr="003A0895">
              <w:rPr>
                <w:rFonts w:ascii="Arial" w:hAnsi="Arial" w:cs="Arial"/>
                <w:b/>
                <w:sz w:val="20"/>
                <w:szCs w:val="20"/>
              </w:rPr>
              <w:t>$ 30,000,000.00</w:t>
            </w:r>
          </w:p>
        </w:tc>
      </w:tr>
      <w:tr w:rsidR="004B4314" w:rsidTr="00BD1267">
        <w:tc>
          <w:tcPr>
            <w:tcW w:w="6378" w:type="dxa"/>
          </w:tcPr>
          <w:p w:rsidR="004B4314" w:rsidRPr="003A0895" w:rsidRDefault="004B4314" w:rsidP="00FA5488">
            <w:pPr>
              <w:jc w:val="both"/>
              <w:rPr>
                <w:rFonts w:ascii="Arial" w:hAnsi="Arial" w:cs="Arial"/>
                <w:sz w:val="20"/>
                <w:szCs w:val="20"/>
              </w:rPr>
            </w:pPr>
            <w:r w:rsidRPr="003A0895">
              <w:rPr>
                <w:rFonts w:ascii="Arial" w:hAnsi="Arial" w:cs="Arial"/>
                <w:sz w:val="20"/>
                <w:szCs w:val="20"/>
              </w:rPr>
              <w:t>…</w:t>
            </w:r>
          </w:p>
        </w:tc>
        <w:tc>
          <w:tcPr>
            <w:tcW w:w="2029" w:type="dxa"/>
          </w:tcPr>
          <w:p w:rsidR="004B4314" w:rsidRPr="003A0895" w:rsidRDefault="004B4314" w:rsidP="00FA5488">
            <w:pPr>
              <w:jc w:val="both"/>
              <w:rPr>
                <w:rFonts w:ascii="Arial" w:hAnsi="Arial" w:cs="Arial"/>
                <w:sz w:val="20"/>
                <w:szCs w:val="20"/>
              </w:rPr>
            </w:pPr>
          </w:p>
        </w:tc>
      </w:tr>
      <w:tr w:rsidR="004B4314" w:rsidTr="00BD1267">
        <w:tc>
          <w:tcPr>
            <w:tcW w:w="6378" w:type="dxa"/>
          </w:tcPr>
          <w:p w:rsidR="004B4314" w:rsidRPr="003A0895" w:rsidRDefault="004B4314" w:rsidP="00FA5488">
            <w:pPr>
              <w:jc w:val="both"/>
              <w:rPr>
                <w:rFonts w:ascii="Arial" w:hAnsi="Arial" w:cs="Arial"/>
                <w:sz w:val="20"/>
                <w:szCs w:val="20"/>
              </w:rPr>
            </w:pPr>
            <w:r w:rsidRPr="003A0895">
              <w:rPr>
                <w:rFonts w:ascii="Arial" w:hAnsi="Arial" w:cs="Arial"/>
                <w:sz w:val="20"/>
                <w:szCs w:val="20"/>
              </w:rPr>
              <w:t>…</w:t>
            </w:r>
          </w:p>
        </w:tc>
        <w:tc>
          <w:tcPr>
            <w:tcW w:w="2029" w:type="dxa"/>
          </w:tcPr>
          <w:p w:rsidR="004B4314" w:rsidRPr="003A0895" w:rsidRDefault="004B4314" w:rsidP="00FA5488">
            <w:pPr>
              <w:jc w:val="both"/>
              <w:rPr>
                <w:rFonts w:ascii="Arial" w:hAnsi="Arial" w:cs="Arial"/>
                <w:sz w:val="20"/>
                <w:szCs w:val="20"/>
              </w:rPr>
            </w:pPr>
          </w:p>
        </w:tc>
      </w:tr>
      <w:tr w:rsidR="004B4314" w:rsidTr="00BD1267">
        <w:tc>
          <w:tcPr>
            <w:tcW w:w="6378" w:type="dxa"/>
          </w:tcPr>
          <w:p w:rsidR="004B4314" w:rsidRPr="003A0895" w:rsidRDefault="004B4314" w:rsidP="00FA5488">
            <w:pPr>
              <w:jc w:val="both"/>
              <w:rPr>
                <w:rFonts w:ascii="Arial" w:hAnsi="Arial" w:cs="Arial"/>
                <w:b/>
                <w:sz w:val="20"/>
                <w:szCs w:val="20"/>
              </w:rPr>
            </w:pPr>
            <w:r w:rsidRPr="003A0895">
              <w:rPr>
                <w:rFonts w:ascii="Arial" w:hAnsi="Arial" w:cs="Arial"/>
                <w:b/>
                <w:sz w:val="20"/>
                <w:szCs w:val="20"/>
              </w:rPr>
              <w:t>Transferencias del sector público</w:t>
            </w:r>
          </w:p>
        </w:tc>
        <w:tc>
          <w:tcPr>
            <w:tcW w:w="2029" w:type="dxa"/>
          </w:tcPr>
          <w:p w:rsidR="004B4314" w:rsidRPr="003A0895" w:rsidRDefault="004B4314" w:rsidP="004B4314">
            <w:pPr>
              <w:jc w:val="right"/>
              <w:rPr>
                <w:rFonts w:ascii="Arial" w:hAnsi="Arial" w:cs="Arial"/>
                <w:sz w:val="20"/>
                <w:szCs w:val="20"/>
              </w:rPr>
            </w:pPr>
            <w:r w:rsidRPr="003A0895">
              <w:rPr>
                <w:rFonts w:ascii="Arial" w:hAnsi="Arial" w:cs="Arial"/>
                <w:b/>
                <w:sz w:val="20"/>
                <w:szCs w:val="20"/>
              </w:rPr>
              <w:t>$ 30,000,000.00</w:t>
            </w:r>
          </w:p>
        </w:tc>
      </w:tr>
      <w:tr w:rsidR="004B4314" w:rsidTr="00BD1267">
        <w:tc>
          <w:tcPr>
            <w:tcW w:w="6378" w:type="dxa"/>
          </w:tcPr>
          <w:p w:rsidR="004B4314" w:rsidRPr="003A0895" w:rsidRDefault="004B4314" w:rsidP="00FA5488">
            <w:pPr>
              <w:jc w:val="both"/>
              <w:rPr>
                <w:rFonts w:ascii="Arial" w:hAnsi="Arial" w:cs="Arial"/>
                <w:sz w:val="20"/>
                <w:szCs w:val="20"/>
              </w:rPr>
            </w:pPr>
            <w:r w:rsidRPr="003A0895">
              <w:rPr>
                <w:rFonts w:ascii="Arial" w:hAnsi="Arial" w:cs="Arial"/>
                <w:sz w:val="20"/>
                <w:szCs w:val="20"/>
              </w:rPr>
              <w:t>….</w:t>
            </w:r>
          </w:p>
        </w:tc>
        <w:tc>
          <w:tcPr>
            <w:tcW w:w="2029" w:type="dxa"/>
          </w:tcPr>
          <w:p w:rsidR="004B4314" w:rsidRPr="003A0895" w:rsidRDefault="004B4314" w:rsidP="00FA5488">
            <w:pPr>
              <w:jc w:val="both"/>
              <w:rPr>
                <w:rFonts w:ascii="Arial" w:hAnsi="Arial" w:cs="Arial"/>
                <w:sz w:val="20"/>
                <w:szCs w:val="20"/>
              </w:rPr>
            </w:pPr>
          </w:p>
        </w:tc>
      </w:tr>
      <w:tr w:rsidR="004B4314" w:rsidTr="00BD1267">
        <w:tc>
          <w:tcPr>
            <w:tcW w:w="6378" w:type="dxa"/>
          </w:tcPr>
          <w:p w:rsidR="004B4314" w:rsidRDefault="004B4314" w:rsidP="00FA5488">
            <w:pPr>
              <w:jc w:val="both"/>
              <w:rPr>
                <w:rFonts w:cstheme="minorHAnsi"/>
                <w:sz w:val="24"/>
                <w:szCs w:val="24"/>
              </w:rPr>
            </w:pPr>
            <w:r>
              <w:rPr>
                <w:rFonts w:cstheme="minorHAnsi"/>
                <w:sz w:val="24"/>
                <w:szCs w:val="24"/>
              </w:rPr>
              <w:t>….</w:t>
            </w:r>
          </w:p>
        </w:tc>
        <w:tc>
          <w:tcPr>
            <w:tcW w:w="2029" w:type="dxa"/>
          </w:tcPr>
          <w:p w:rsidR="004B4314" w:rsidRDefault="004B4314" w:rsidP="00FA5488">
            <w:pPr>
              <w:jc w:val="both"/>
              <w:rPr>
                <w:rFonts w:cstheme="minorHAnsi"/>
                <w:sz w:val="24"/>
                <w:szCs w:val="24"/>
              </w:rPr>
            </w:pPr>
          </w:p>
        </w:tc>
      </w:tr>
      <w:tr w:rsidR="004B4314" w:rsidTr="00BD1267">
        <w:tc>
          <w:tcPr>
            <w:tcW w:w="6378" w:type="dxa"/>
          </w:tcPr>
          <w:p w:rsidR="004B4314" w:rsidRDefault="004B4314" w:rsidP="00FA5488">
            <w:pPr>
              <w:jc w:val="both"/>
              <w:rPr>
                <w:rFonts w:cstheme="minorHAnsi"/>
                <w:sz w:val="24"/>
                <w:szCs w:val="24"/>
              </w:rPr>
            </w:pPr>
            <w:r>
              <w:rPr>
                <w:rFonts w:cstheme="minorHAnsi"/>
                <w:sz w:val="24"/>
                <w:szCs w:val="24"/>
              </w:rPr>
              <w:t>….</w:t>
            </w:r>
          </w:p>
        </w:tc>
        <w:tc>
          <w:tcPr>
            <w:tcW w:w="2029" w:type="dxa"/>
          </w:tcPr>
          <w:p w:rsidR="004B4314" w:rsidRDefault="004B4314" w:rsidP="00FA5488">
            <w:pPr>
              <w:jc w:val="both"/>
              <w:rPr>
                <w:rFonts w:cstheme="minorHAnsi"/>
                <w:sz w:val="24"/>
                <w:szCs w:val="24"/>
              </w:rPr>
            </w:pPr>
          </w:p>
        </w:tc>
      </w:tr>
      <w:tr w:rsidR="004B4314" w:rsidTr="00BD1267">
        <w:tc>
          <w:tcPr>
            <w:tcW w:w="6378" w:type="dxa"/>
          </w:tcPr>
          <w:p w:rsidR="004B4314" w:rsidRPr="003A0895" w:rsidRDefault="004B4314" w:rsidP="00FA5488">
            <w:pPr>
              <w:jc w:val="both"/>
              <w:rPr>
                <w:rFonts w:cstheme="minorHAnsi"/>
                <w:b/>
                <w:sz w:val="20"/>
                <w:szCs w:val="20"/>
              </w:rPr>
            </w:pPr>
            <w:r w:rsidRPr="003A0895">
              <w:rPr>
                <w:rFonts w:cstheme="minorHAnsi"/>
                <w:b/>
                <w:sz w:val="20"/>
                <w:szCs w:val="20"/>
              </w:rPr>
              <w:t>EL TOTAL DE INGRESOS QUE EL MUNICPIO DE TIXKOKOB, YUCATÁN PERCIBIRÁ DURANTE EL EJERCICIO FISCAL 2019, ASCENDERÁ A:</w:t>
            </w:r>
          </w:p>
        </w:tc>
        <w:tc>
          <w:tcPr>
            <w:tcW w:w="2029" w:type="dxa"/>
          </w:tcPr>
          <w:p w:rsidR="004B4314" w:rsidRPr="00BD1267" w:rsidRDefault="004B4314" w:rsidP="004B4314">
            <w:pPr>
              <w:jc w:val="right"/>
              <w:rPr>
                <w:rFonts w:cstheme="minorHAnsi"/>
                <w:b/>
                <w:sz w:val="20"/>
                <w:szCs w:val="20"/>
              </w:rPr>
            </w:pPr>
            <w:r w:rsidRPr="00BD1267">
              <w:rPr>
                <w:rFonts w:cstheme="minorHAnsi"/>
                <w:b/>
                <w:sz w:val="20"/>
                <w:szCs w:val="20"/>
              </w:rPr>
              <w:t xml:space="preserve">$ </w:t>
            </w:r>
            <w:r w:rsidR="00A278C1">
              <w:rPr>
                <w:rFonts w:cstheme="minorHAnsi"/>
                <w:b/>
                <w:sz w:val="20"/>
                <w:szCs w:val="20"/>
              </w:rPr>
              <w:t>90,741,17</w:t>
            </w:r>
            <w:r w:rsidRPr="00BD1267">
              <w:rPr>
                <w:rFonts w:cstheme="minorHAnsi"/>
                <w:b/>
                <w:sz w:val="20"/>
                <w:szCs w:val="20"/>
              </w:rPr>
              <w:t>8.08</w:t>
            </w:r>
          </w:p>
        </w:tc>
      </w:tr>
    </w:tbl>
    <w:p w:rsidR="003A0895" w:rsidRDefault="003A0895" w:rsidP="00FA5488">
      <w:pPr>
        <w:jc w:val="both"/>
        <w:rPr>
          <w:rFonts w:cstheme="minorHAnsi"/>
          <w:sz w:val="24"/>
          <w:szCs w:val="24"/>
        </w:rPr>
      </w:pPr>
    </w:p>
    <w:p w:rsidR="00EA6C2C" w:rsidRPr="003A0895" w:rsidRDefault="00EA6C2C" w:rsidP="00FA5488">
      <w:pPr>
        <w:jc w:val="both"/>
        <w:rPr>
          <w:rFonts w:ascii="Arial" w:hAnsi="Arial" w:cs="Arial"/>
          <w:sz w:val="20"/>
          <w:szCs w:val="20"/>
        </w:rPr>
      </w:pPr>
      <w:r w:rsidRPr="003A0895">
        <w:rPr>
          <w:rFonts w:ascii="Arial" w:hAnsi="Arial" w:cs="Arial"/>
          <w:b/>
          <w:sz w:val="20"/>
          <w:szCs w:val="20"/>
        </w:rPr>
        <w:t xml:space="preserve">Décima </w:t>
      </w:r>
      <w:r w:rsidR="00EA7D1A">
        <w:rPr>
          <w:rFonts w:ascii="Arial" w:hAnsi="Arial" w:cs="Arial"/>
          <w:b/>
          <w:sz w:val="20"/>
          <w:szCs w:val="20"/>
        </w:rPr>
        <w:t>S</w:t>
      </w:r>
      <w:r w:rsidRPr="003A0895">
        <w:rPr>
          <w:rFonts w:ascii="Arial" w:hAnsi="Arial" w:cs="Arial"/>
          <w:b/>
          <w:sz w:val="20"/>
          <w:szCs w:val="20"/>
        </w:rPr>
        <w:t>egundo.-</w:t>
      </w:r>
      <w:r w:rsidRPr="003A0895">
        <w:rPr>
          <w:rFonts w:ascii="Arial" w:hAnsi="Arial" w:cs="Arial"/>
          <w:sz w:val="20"/>
          <w:szCs w:val="20"/>
        </w:rPr>
        <w:t xml:space="preserve"> Se solicita al H. Congreso del Estado de Yucatán, para que e</w:t>
      </w:r>
      <w:r w:rsidR="00E94435">
        <w:rPr>
          <w:rFonts w:ascii="Arial" w:hAnsi="Arial" w:cs="Arial"/>
          <w:sz w:val="20"/>
          <w:szCs w:val="20"/>
        </w:rPr>
        <w:t>n su oportunidad se turne a la C</w:t>
      </w:r>
      <w:r w:rsidRPr="003A0895">
        <w:rPr>
          <w:rFonts w:ascii="Arial" w:hAnsi="Arial" w:cs="Arial"/>
          <w:sz w:val="20"/>
          <w:szCs w:val="20"/>
        </w:rPr>
        <w:t>omisión Permanente de Pre</w:t>
      </w:r>
      <w:r w:rsidR="00A278C1">
        <w:rPr>
          <w:rFonts w:ascii="Arial" w:hAnsi="Arial" w:cs="Arial"/>
          <w:sz w:val="20"/>
          <w:szCs w:val="20"/>
        </w:rPr>
        <w:t>supuesto, Patrimonio Estatal y M</w:t>
      </w:r>
      <w:r w:rsidRPr="003A0895">
        <w:rPr>
          <w:rFonts w:ascii="Arial" w:hAnsi="Arial" w:cs="Arial"/>
          <w:sz w:val="20"/>
          <w:szCs w:val="20"/>
        </w:rPr>
        <w:t>unicipal para su estudio análisis y dictamen correspondiente, la solicitud  de que se autorice el Ayuntamiento de Tixkokob, ingresos extraordinarios por el monto de $30,000,000.00(TREINTA MILLONES DE PESOS MONEDA NACIONAL), para hacer frente de las obligaciones de pago derivadas de las sentencias ejecutoriadas y se modifique la Ley de Ingresos para que se permita la obtención de dichos recursos.</w:t>
      </w:r>
    </w:p>
    <w:p w:rsidR="00EA6C2C" w:rsidRDefault="00EA6C2C" w:rsidP="00B5440B">
      <w:pPr>
        <w:jc w:val="center"/>
        <w:rPr>
          <w:rFonts w:ascii="Arial" w:hAnsi="Arial" w:cs="Arial"/>
          <w:sz w:val="20"/>
          <w:szCs w:val="20"/>
        </w:rPr>
      </w:pPr>
      <w:r w:rsidRPr="003A0895">
        <w:rPr>
          <w:rFonts w:ascii="Arial" w:hAnsi="Arial" w:cs="Arial"/>
          <w:sz w:val="20"/>
          <w:szCs w:val="20"/>
        </w:rPr>
        <w:t>Sin más por el momento, nos permitimos enviarles un cordial saludo, quedamos de ustedes.</w:t>
      </w:r>
    </w:p>
    <w:p w:rsidR="00B5440B" w:rsidRDefault="00B5440B" w:rsidP="00B5440B">
      <w:pPr>
        <w:jc w:val="center"/>
        <w:rPr>
          <w:rFonts w:ascii="Arial" w:hAnsi="Arial" w:cs="Arial"/>
          <w:sz w:val="20"/>
          <w:szCs w:val="20"/>
        </w:rPr>
      </w:pPr>
    </w:p>
    <w:p w:rsidR="005A4B44" w:rsidRDefault="005A4B44" w:rsidP="00B5440B">
      <w:pPr>
        <w:jc w:val="center"/>
        <w:rPr>
          <w:rFonts w:cstheme="minorHAnsi"/>
          <w:b/>
          <w:sz w:val="24"/>
          <w:szCs w:val="24"/>
        </w:rPr>
      </w:pPr>
    </w:p>
    <w:p w:rsidR="00B5440B" w:rsidRPr="005A4B44" w:rsidRDefault="00B5440B" w:rsidP="00B5440B">
      <w:pPr>
        <w:jc w:val="center"/>
        <w:rPr>
          <w:rFonts w:cstheme="minorHAnsi"/>
          <w:b/>
          <w:sz w:val="24"/>
          <w:szCs w:val="24"/>
        </w:rPr>
      </w:pPr>
      <w:r w:rsidRPr="005A4B44">
        <w:rPr>
          <w:rFonts w:cstheme="minorHAnsi"/>
          <w:b/>
          <w:sz w:val="24"/>
          <w:szCs w:val="24"/>
        </w:rPr>
        <w:t>ATENTAMENTE</w:t>
      </w:r>
    </w:p>
    <w:p w:rsidR="00B5440B" w:rsidRDefault="00B5440B" w:rsidP="00B5440B">
      <w:pPr>
        <w:jc w:val="center"/>
        <w:rPr>
          <w:rFonts w:cstheme="minorHAnsi"/>
          <w:b/>
          <w:sz w:val="24"/>
          <w:szCs w:val="24"/>
        </w:rPr>
      </w:pPr>
      <w:r w:rsidRPr="005A4B44">
        <w:rPr>
          <w:rFonts w:cstheme="minorHAnsi"/>
          <w:b/>
          <w:sz w:val="24"/>
          <w:szCs w:val="24"/>
        </w:rPr>
        <w:t>H. AYUNTAMIENTO DEL MUNICIPIO DE TIXKOKOB</w:t>
      </w:r>
    </w:p>
    <w:p w:rsidR="005A4B44" w:rsidRPr="005A4B44" w:rsidRDefault="005A4B44" w:rsidP="00B5440B">
      <w:pPr>
        <w:jc w:val="center"/>
        <w:rPr>
          <w:rFonts w:ascii="Berlin Sans FB Demi" w:hAnsi="Berlin Sans FB Demi" w:cs="Arial"/>
          <w:b/>
          <w:sz w:val="20"/>
          <w:szCs w:val="20"/>
        </w:rPr>
      </w:pPr>
    </w:p>
    <w:p w:rsidR="00B5440B" w:rsidRPr="005A4B44" w:rsidRDefault="00B5440B" w:rsidP="00B5440B">
      <w:pPr>
        <w:jc w:val="center"/>
        <w:rPr>
          <w:rFonts w:ascii="Berlin Sans FB Demi" w:hAnsi="Berlin Sans FB Demi" w:cs="Arial"/>
          <w:b/>
          <w:sz w:val="20"/>
          <w:szCs w:val="20"/>
        </w:rPr>
      </w:pPr>
    </w:p>
    <w:p w:rsidR="00B5440B" w:rsidRDefault="00B5440B" w:rsidP="00B5440B">
      <w:pPr>
        <w:jc w:val="center"/>
        <w:rPr>
          <w:rFonts w:ascii="Arial" w:hAnsi="Arial" w:cs="Arial"/>
          <w:sz w:val="20"/>
          <w:szCs w:val="20"/>
        </w:rPr>
      </w:pPr>
    </w:p>
    <w:p w:rsidR="00B5440B" w:rsidRPr="005A4B44" w:rsidRDefault="00B5440B" w:rsidP="005A4B44">
      <w:pPr>
        <w:spacing w:line="240" w:lineRule="auto"/>
        <w:rPr>
          <w:rFonts w:cstheme="minorHAnsi"/>
          <w:b/>
          <w:sz w:val="24"/>
          <w:szCs w:val="24"/>
        </w:rPr>
      </w:pPr>
      <w:r w:rsidRPr="005A4B44">
        <w:rPr>
          <w:rFonts w:cstheme="minorHAnsi"/>
          <w:b/>
          <w:sz w:val="24"/>
          <w:szCs w:val="24"/>
        </w:rPr>
        <w:t>C.P. ERIC EDGARDO QUIJANO GONZALEZ</w:t>
      </w:r>
      <w:r w:rsidR="005A4B44" w:rsidRPr="005A4B44">
        <w:rPr>
          <w:rFonts w:cstheme="minorHAnsi"/>
          <w:b/>
          <w:sz w:val="24"/>
          <w:szCs w:val="24"/>
        </w:rPr>
        <w:t xml:space="preserve">                                   </w:t>
      </w:r>
      <w:r w:rsidRPr="005A4B44">
        <w:rPr>
          <w:rFonts w:cstheme="minorHAnsi"/>
          <w:b/>
          <w:sz w:val="24"/>
          <w:szCs w:val="24"/>
        </w:rPr>
        <w:t xml:space="preserve"> C.JOSÉ FIDEL SABIDO LARA</w:t>
      </w:r>
    </w:p>
    <w:p w:rsidR="00B5440B" w:rsidRPr="005A4B44" w:rsidRDefault="005A4B44" w:rsidP="005A4B44">
      <w:pPr>
        <w:spacing w:line="240" w:lineRule="auto"/>
        <w:jc w:val="center"/>
        <w:rPr>
          <w:rFonts w:cstheme="minorHAnsi"/>
          <w:b/>
          <w:sz w:val="24"/>
          <w:szCs w:val="24"/>
        </w:rPr>
      </w:pPr>
      <w:r>
        <w:rPr>
          <w:rFonts w:cstheme="minorHAnsi"/>
          <w:b/>
          <w:sz w:val="24"/>
          <w:szCs w:val="24"/>
        </w:rPr>
        <w:t xml:space="preserve">      </w:t>
      </w:r>
      <w:r w:rsidR="00B5440B" w:rsidRPr="005A4B44">
        <w:rPr>
          <w:rFonts w:cstheme="minorHAnsi"/>
          <w:b/>
          <w:sz w:val="24"/>
          <w:szCs w:val="24"/>
        </w:rPr>
        <w:t>PRESIDENTE MUNICIPAL</w:t>
      </w:r>
      <w:r w:rsidRPr="005A4B44">
        <w:rPr>
          <w:rFonts w:cstheme="minorHAnsi"/>
          <w:b/>
          <w:sz w:val="24"/>
          <w:szCs w:val="24"/>
        </w:rPr>
        <w:t xml:space="preserve">      </w:t>
      </w:r>
      <w:r>
        <w:rPr>
          <w:rFonts w:cstheme="minorHAnsi"/>
          <w:b/>
          <w:sz w:val="24"/>
          <w:szCs w:val="24"/>
        </w:rPr>
        <w:t xml:space="preserve">                            </w:t>
      </w:r>
      <w:r w:rsidRPr="005A4B44">
        <w:rPr>
          <w:rFonts w:cstheme="minorHAnsi"/>
          <w:b/>
          <w:sz w:val="24"/>
          <w:szCs w:val="24"/>
        </w:rPr>
        <w:t xml:space="preserve">                         </w:t>
      </w:r>
      <w:r w:rsidR="00B5440B" w:rsidRPr="005A4B44">
        <w:rPr>
          <w:rFonts w:cstheme="minorHAnsi"/>
          <w:b/>
          <w:sz w:val="24"/>
          <w:szCs w:val="24"/>
        </w:rPr>
        <w:t xml:space="preserve"> SECRETARIO MUNICIPAL</w:t>
      </w:r>
    </w:p>
    <w:p w:rsidR="00B5440B" w:rsidRPr="003A0895" w:rsidRDefault="00B5440B" w:rsidP="005A4B44">
      <w:pPr>
        <w:spacing w:line="240" w:lineRule="auto"/>
        <w:jc w:val="both"/>
        <w:rPr>
          <w:rFonts w:ascii="Arial" w:hAnsi="Arial" w:cs="Arial"/>
          <w:sz w:val="20"/>
          <w:szCs w:val="20"/>
        </w:rPr>
      </w:pPr>
    </w:p>
    <w:sectPr w:rsidR="00B5440B" w:rsidRPr="003A089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72D" w:rsidRDefault="0093072D" w:rsidP="00BD1267">
      <w:pPr>
        <w:spacing w:after="0" w:line="240" w:lineRule="auto"/>
      </w:pPr>
      <w:r>
        <w:separator/>
      </w:r>
    </w:p>
  </w:endnote>
  <w:endnote w:type="continuationSeparator" w:id="0">
    <w:p w:rsidR="0093072D" w:rsidRDefault="0093072D" w:rsidP="00BD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72D" w:rsidRDefault="0093072D" w:rsidP="00BD1267">
      <w:pPr>
        <w:spacing w:after="0" w:line="240" w:lineRule="auto"/>
      </w:pPr>
      <w:r>
        <w:separator/>
      </w:r>
    </w:p>
  </w:footnote>
  <w:footnote w:type="continuationSeparator" w:id="0">
    <w:p w:rsidR="0093072D" w:rsidRDefault="0093072D" w:rsidP="00BD12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B6"/>
    <w:rsid w:val="000007CE"/>
    <w:rsid w:val="00062B4E"/>
    <w:rsid w:val="000F11EF"/>
    <w:rsid w:val="00165BEC"/>
    <w:rsid w:val="00170D3A"/>
    <w:rsid w:val="00180FE2"/>
    <w:rsid w:val="002B50DB"/>
    <w:rsid w:val="00331C71"/>
    <w:rsid w:val="003702FB"/>
    <w:rsid w:val="00395FC4"/>
    <w:rsid w:val="003A0895"/>
    <w:rsid w:val="004B4314"/>
    <w:rsid w:val="004C169D"/>
    <w:rsid w:val="00500211"/>
    <w:rsid w:val="00504DF7"/>
    <w:rsid w:val="005A4B44"/>
    <w:rsid w:val="005D205B"/>
    <w:rsid w:val="006C5571"/>
    <w:rsid w:val="007810B6"/>
    <w:rsid w:val="0079331C"/>
    <w:rsid w:val="00880613"/>
    <w:rsid w:val="0088541A"/>
    <w:rsid w:val="008D7FDA"/>
    <w:rsid w:val="00900BEF"/>
    <w:rsid w:val="00903830"/>
    <w:rsid w:val="0093072D"/>
    <w:rsid w:val="009402D1"/>
    <w:rsid w:val="00A278C1"/>
    <w:rsid w:val="00A57802"/>
    <w:rsid w:val="00A81B98"/>
    <w:rsid w:val="00B20915"/>
    <w:rsid w:val="00B5440B"/>
    <w:rsid w:val="00B96091"/>
    <w:rsid w:val="00BA289F"/>
    <w:rsid w:val="00BD0E3D"/>
    <w:rsid w:val="00BD1267"/>
    <w:rsid w:val="00C01C67"/>
    <w:rsid w:val="00C12084"/>
    <w:rsid w:val="00C1723F"/>
    <w:rsid w:val="00C51E87"/>
    <w:rsid w:val="00D23806"/>
    <w:rsid w:val="00D36EC0"/>
    <w:rsid w:val="00D41A49"/>
    <w:rsid w:val="00D61966"/>
    <w:rsid w:val="00D71AAF"/>
    <w:rsid w:val="00E91856"/>
    <w:rsid w:val="00E94435"/>
    <w:rsid w:val="00EA6C2C"/>
    <w:rsid w:val="00EA7D1A"/>
    <w:rsid w:val="00F64592"/>
    <w:rsid w:val="00F66E1F"/>
    <w:rsid w:val="00FA5488"/>
    <w:rsid w:val="00FE41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E721E-457D-4342-945F-98F53594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B4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12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1267"/>
  </w:style>
  <w:style w:type="paragraph" w:styleId="Piedepgina">
    <w:name w:val="footer"/>
    <w:basedOn w:val="Normal"/>
    <w:link w:val="PiedepginaCar"/>
    <w:uiPriority w:val="99"/>
    <w:unhideWhenUsed/>
    <w:rsid w:val="00BD12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1850</Words>
  <Characters>10177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Arlethe</dc:creator>
  <cp:keywords/>
  <dc:description/>
  <cp:lastModifiedBy>Mildred Manzanilla</cp:lastModifiedBy>
  <cp:revision>7</cp:revision>
  <dcterms:created xsi:type="dcterms:W3CDTF">2019-09-18T16:51:00Z</dcterms:created>
  <dcterms:modified xsi:type="dcterms:W3CDTF">2019-09-19T16:46:00Z</dcterms:modified>
</cp:coreProperties>
</file>